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F3A1E" w14:textId="54D3BD36" w:rsidR="65DC9E75" w:rsidRDefault="65DC9E75" w:rsidP="00EB3FB3">
      <w:pPr>
        <w:jc w:val="center"/>
        <w:rPr>
          <w:rFonts w:eastAsiaTheme="minorEastAsia"/>
          <w:b/>
          <w:bCs/>
          <w:color w:val="374151"/>
          <w:sz w:val="32"/>
          <w:szCs w:val="32"/>
        </w:rPr>
      </w:pPr>
      <w:r w:rsidRPr="65DC9E75">
        <w:rPr>
          <w:rFonts w:eastAsiaTheme="minorEastAsia"/>
          <w:b/>
          <w:bCs/>
          <w:color w:val="374151"/>
          <w:sz w:val="32"/>
          <w:szCs w:val="32"/>
        </w:rPr>
        <w:t xml:space="preserve">How </w:t>
      </w:r>
      <w:r w:rsidR="00EB3FB3">
        <w:rPr>
          <w:rFonts w:eastAsiaTheme="minorEastAsia"/>
          <w:b/>
          <w:bCs/>
          <w:color w:val="374151"/>
          <w:sz w:val="32"/>
          <w:szCs w:val="32"/>
        </w:rPr>
        <w:t>C</w:t>
      </w:r>
      <w:r w:rsidRPr="65DC9E75">
        <w:rPr>
          <w:rFonts w:eastAsiaTheme="minorEastAsia"/>
          <w:b/>
          <w:bCs/>
          <w:color w:val="374151"/>
          <w:sz w:val="32"/>
          <w:szCs w:val="32"/>
        </w:rPr>
        <w:t xml:space="preserve">an </w:t>
      </w:r>
      <w:r w:rsidR="00EB3FB3">
        <w:rPr>
          <w:rFonts w:eastAsiaTheme="minorEastAsia"/>
          <w:b/>
          <w:bCs/>
          <w:color w:val="374151"/>
          <w:sz w:val="32"/>
          <w:szCs w:val="32"/>
        </w:rPr>
        <w:t>Y</w:t>
      </w:r>
      <w:r w:rsidRPr="65DC9E75">
        <w:rPr>
          <w:rFonts w:eastAsiaTheme="minorEastAsia"/>
          <w:b/>
          <w:bCs/>
          <w:color w:val="374151"/>
          <w:sz w:val="32"/>
          <w:szCs w:val="32"/>
        </w:rPr>
        <w:t xml:space="preserve">ou </w:t>
      </w:r>
      <w:r w:rsidR="00EB3FB3">
        <w:rPr>
          <w:rFonts w:eastAsiaTheme="minorEastAsia"/>
          <w:b/>
          <w:bCs/>
          <w:color w:val="374151"/>
          <w:sz w:val="32"/>
          <w:szCs w:val="32"/>
        </w:rPr>
        <w:t>P</w:t>
      </w:r>
      <w:r w:rsidRPr="65DC9E75">
        <w:rPr>
          <w:rFonts w:eastAsiaTheme="minorEastAsia"/>
          <w:b/>
          <w:bCs/>
          <w:color w:val="374151"/>
          <w:sz w:val="32"/>
          <w:szCs w:val="32"/>
        </w:rPr>
        <w:t xml:space="preserve">revent </w:t>
      </w:r>
      <w:r w:rsidR="00EB3FB3">
        <w:rPr>
          <w:rFonts w:eastAsiaTheme="minorEastAsia"/>
          <w:b/>
          <w:bCs/>
          <w:color w:val="374151"/>
          <w:sz w:val="32"/>
          <w:szCs w:val="32"/>
        </w:rPr>
        <w:t>T</w:t>
      </w:r>
      <w:r w:rsidRPr="65DC9E75">
        <w:rPr>
          <w:rFonts w:eastAsiaTheme="minorEastAsia"/>
          <w:b/>
          <w:bCs/>
          <w:color w:val="374151"/>
          <w:sz w:val="32"/>
          <w:szCs w:val="32"/>
        </w:rPr>
        <w:t xml:space="preserve">ooth </w:t>
      </w:r>
      <w:r w:rsidR="00EB3FB3">
        <w:rPr>
          <w:rFonts w:eastAsiaTheme="minorEastAsia"/>
          <w:b/>
          <w:bCs/>
          <w:color w:val="374151"/>
          <w:sz w:val="32"/>
          <w:szCs w:val="32"/>
        </w:rPr>
        <w:t>D</w:t>
      </w:r>
      <w:r w:rsidRPr="65DC9E75">
        <w:rPr>
          <w:rFonts w:eastAsiaTheme="minorEastAsia"/>
          <w:b/>
          <w:bCs/>
          <w:color w:val="374151"/>
          <w:sz w:val="32"/>
          <w:szCs w:val="32"/>
        </w:rPr>
        <w:t>ecay?</w:t>
      </w:r>
    </w:p>
    <w:p w14:paraId="713B61F1" w14:textId="77777777" w:rsidR="00EB3FB3" w:rsidRDefault="00EB3FB3" w:rsidP="00EB3FB3">
      <w:pPr>
        <w:jc w:val="center"/>
        <w:rPr>
          <w:rFonts w:eastAsiaTheme="minorEastAsia"/>
          <w:b/>
          <w:bCs/>
          <w:color w:val="374151"/>
          <w:sz w:val="32"/>
          <w:szCs w:val="32"/>
        </w:rPr>
      </w:pPr>
    </w:p>
    <w:p w14:paraId="360B0DF1" w14:textId="5D92A51A" w:rsidR="006E0BB5" w:rsidRDefault="65DC9E75" w:rsidP="005F7078">
      <w:pPr>
        <w:jc w:val="both"/>
        <w:rPr>
          <w:rFonts w:eastAsiaTheme="minorEastAsia"/>
          <w:color w:val="374151"/>
          <w:sz w:val="28"/>
          <w:szCs w:val="28"/>
        </w:rPr>
      </w:pPr>
      <w:bookmarkStart w:id="0" w:name="_GoBack"/>
      <w:r w:rsidRPr="65DC9E75">
        <w:rPr>
          <w:rFonts w:eastAsiaTheme="minorEastAsia"/>
          <w:color w:val="374151"/>
          <w:sz w:val="28"/>
          <w:szCs w:val="28"/>
        </w:rPr>
        <w:t xml:space="preserve">There are up to three hundred different species of bacteria in the mouth, the majority of which are beneficial to our health and are collectively known as the oral microbiome. However, the primary culprit behind tooth decay is a specific type of bacteria that lives naturally in the mouth. This strain of bacteria is known as </w:t>
      </w:r>
      <w:r w:rsidRPr="65DC9E75">
        <w:rPr>
          <w:rFonts w:eastAsiaTheme="minorEastAsia"/>
          <w:i/>
          <w:iCs/>
          <w:color w:val="374151"/>
          <w:sz w:val="28"/>
          <w:szCs w:val="28"/>
        </w:rPr>
        <w:t>Streptococcus mutans,</w:t>
      </w:r>
      <w:r w:rsidRPr="65DC9E75">
        <w:rPr>
          <w:rFonts w:eastAsiaTheme="minorEastAsia"/>
          <w:color w:val="374151"/>
          <w:sz w:val="28"/>
          <w:szCs w:val="28"/>
        </w:rPr>
        <w:t xml:space="preserve"> and they feed on sugars present in the food and beverages we consume. As they process these sugars, they produce lactic acids as a byproduct. This acid then starts to erode the minerals in the tooth enamel, causing it to weaken and break down (1). </w:t>
      </w:r>
    </w:p>
    <w:p w14:paraId="6D341B82" w14:textId="29B7968D" w:rsidR="006E0BB5" w:rsidRDefault="65DC9E75" w:rsidP="005F7078">
      <w:pPr>
        <w:jc w:val="both"/>
        <w:rPr>
          <w:rFonts w:eastAsiaTheme="minorEastAsia"/>
          <w:color w:val="374151"/>
          <w:sz w:val="28"/>
          <w:szCs w:val="28"/>
        </w:rPr>
      </w:pPr>
      <w:r w:rsidRPr="65DC9E75">
        <w:rPr>
          <w:rFonts w:eastAsiaTheme="minorEastAsia"/>
          <w:color w:val="374151"/>
          <w:sz w:val="28"/>
          <w:szCs w:val="28"/>
        </w:rPr>
        <w:t xml:space="preserve">The progression of tooth decay typically follows a few stages. Firstly, a plaque is formed. Plaque is a sticky film of bacteria that forms on the teeth. When sugars are present, the bacteria in plaque produce acids that begin to attack the enamel. This leads to microscopic pits and weak spots on the tooth surface. If left untreated, the enamel breaks down, and the decay spreads and gets deeper, affecting the dentin and pulp (1). </w:t>
      </w:r>
    </w:p>
    <w:p w14:paraId="4DBA991B" w14:textId="1E99D88F" w:rsidR="006E0BB5" w:rsidRDefault="65DC9E75" w:rsidP="005F7078">
      <w:pPr>
        <w:spacing w:after="0"/>
        <w:jc w:val="both"/>
        <w:rPr>
          <w:rFonts w:eastAsiaTheme="minorEastAsia"/>
          <w:color w:val="374151"/>
          <w:sz w:val="28"/>
          <w:szCs w:val="28"/>
        </w:rPr>
      </w:pPr>
      <w:r w:rsidRPr="65DC9E75">
        <w:rPr>
          <w:rFonts w:eastAsiaTheme="minorEastAsia"/>
          <w:color w:val="374151"/>
          <w:sz w:val="28"/>
          <w:szCs w:val="28"/>
        </w:rPr>
        <w:t>Once decay reaches the dentin (the layer beneath the enamel) and progresses into the inner part of the tooth known as the pulp, individuals may experience tooth sensitivity, pain, and inflammation. This is because the pulp contains nerves and blood vessels. If bacteria known as lactobacilli start to invade and multiply in the pulp, it can lead to a painful abscess (1).</w:t>
      </w:r>
    </w:p>
    <w:p w14:paraId="2F32DF5C" w14:textId="20B7EAAC" w:rsidR="006E0BB5" w:rsidRDefault="006E0BB5" w:rsidP="005F7078">
      <w:pPr>
        <w:spacing w:after="0"/>
        <w:jc w:val="both"/>
        <w:rPr>
          <w:rFonts w:eastAsiaTheme="minorEastAsia"/>
          <w:color w:val="374151"/>
          <w:sz w:val="28"/>
          <w:szCs w:val="28"/>
        </w:rPr>
      </w:pPr>
    </w:p>
    <w:p w14:paraId="2F60F772" w14:textId="5A0E9CC7" w:rsidR="006E0BB5" w:rsidRPr="00EB3FB3" w:rsidRDefault="65DC9E75" w:rsidP="005F7078">
      <w:pPr>
        <w:jc w:val="both"/>
        <w:rPr>
          <w:rFonts w:eastAsiaTheme="minorEastAsia"/>
          <w:b/>
          <w:color w:val="374151"/>
          <w:sz w:val="32"/>
          <w:szCs w:val="32"/>
        </w:rPr>
      </w:pPr>
      <w:r w:rsidRPr="00EB3FB3">
        <w:rPr>
          <w:rFonts w:eastAsiaTheme="minorEastAsia"/>
          <w:b/>
          <w:color w:val="374151"/>
          <w:sz w:val="32"/>
          <w:szCs w:val="32"/>
        </w:rPr>
        <w:t>Clean teeth with fluoride toothpaste</w:t>
      </w:r>
    </w:p>
    <w:p w14:paraId="179ADF10" w14:textId="6D9A56EA" w:rsidR="006E0BB5" w:rsidRDefault="65DC9E75" w:rsidP="005F7078">
      <w:pPr>
        <w:jc w:val="both"/>
        <w:rPr>
          <w:rFonts w:eastAsiaTheme="minorEastAsia"/>
          <w:color w:val="374151"/>
          <w:sz w:val="28"/>
          <w:szCs w:val="28"/>
        </w:rPr>
      </w:pPr>
      <w:r w:rsidRPr="65DC9E75">
        <w:rPr>
          <w:rFonts w:eastAsiaTheme="minorEastAsia"/>
          <w:color w:val="374151"/>
          <w:sz w:val="28"/>
          <w:szCs w:val="28"/>
        </w:rPr>
        <w:t xml:space="preserve">There are quite a few ways that fluoride helps prevent tooth decay by around forty percent, compared to not using it. Therefore, it is important to use toothpaste that contains fluoride to clean the teeth. The fact that fluoride replaces certain parts of the tooth, known as hydroxyapatite, making it into a substance called fluorapatite, explains the forty percent reduction. Fluorapatite is much better at resisting acid than hydroxyapatite. This means that teeth with fluorapatite decay more slowly in the acidic conditions that plaque creates. They also recover faster in between eating sugary foods. However, this explanation is how fluoride in water prevents </w:t>
      </w:r>
      <w:r w:rsidRPr="65DC9E75">
        <w:rPr>
          <w:rFonts w:eastAsiaTheme="minorEastAsia"/>
          <w:color w:val="374151"/>
          <w:sz w:val="28"/>
          <w:szCs w:val="28"/>
        </w:rPr>
        <w:lastRenderedPageBreak/>
        <w:t>tooth decay, as it is not fully understood how applying fluoride directly to the teeth works (1).</w:t>
      </w:r>
    </w:p>
    <w:p w14:paraId="35F071F2" w14:textId="5D921346" w:rsidR="006E0BB5" w:rsidRDefault="65DC9E75" w:rsidP="005F7078">
      <w:pPr>
        <w:jc w:val="both"/>
        <w:rPr>
          <w:rFonts w:eastAsiaTheme="minorEastAsia"/>
          <w:color w:val="374151"/>
          <w:sz w:val="28"/>
          <w:szCs w:val="28"/>
        </w:rPr>
      </w:pPr>
      <w:r w:rsidRPr="65DC9E75">
        <w:rPr>
          <w:rFonts w:eastAsiaTheme="minorEastAsia"/>
          <w:color w:val="374151"/>
          <w:sz w:val="28"/>
          <w:szCs w:val="28"/>
        </w:rPr>
        <w:t>With that said, it is believed that when fluoride is applied directly to the teeth, the enamel holds on to some of the fluoride. This fluoride can be in the form of fluorapatite or other forms of calcium salts that are easily used by enamel. Although the acid made by the bacteria in the plaque can break down the fluoride that is stuck to the enamel, the resulting broken-down substance can be harmful to the acid-producing bacteria. Therefore, fluoride behaves as a powerful germ-fighting substance that ironically works best in the conditions created by the bacteria it can be harmful to (1).</w:t>
      </w:r>
    </w:p>
    <w:p w14:paraId="0105B99B" w14:textId="5A910D12" w:rsidR="006E0BB5" w:rsidRDefault="006E0BB5" w:rsidP="005F7078">
      <w:pPr>
        <w:jc w:val="both"/>
        <w:rPr>
          <w:rFonts w:eastAsiaTheme="minorEastAsia"/>
          <w:color w:val="374151"/>
          <w:sz w:val="28"/>
          <w:szCs w:val="28"/>
        </w:rPr>
      </w:pPr>
    </w:p>
    <w:p w14:paraId="64AA4D9D" w14:textId="7DA1682A" w:rsidR="006E0BB5" w:rsidRPr="00EB3FB3" w:rsidRDefault="65DC9E75" w:rsidP="005F7078">
      <w:pPr>
        <w:jc w:val="both"/>
        <w:rPr>
          <w:rFonts w:eastAsiaTheme="minorEastAsia"/>
          <w:b/>
          <w:color w:val="374151"/>
          <w:sz w:val="32"/>
          <w:szCs w:val="32"/>
        </w:rPr>
      </w:pPr>
      <w:r w:rsidRPr="00EB3FB3">
        <w:rPr>
          <w:rFonts w:eastAsiaTheme="minorEastAsia"/>
          <w:b/>
          <w:color w:val="374151"/>
          <w:sz w:val="32"/>
          <w:szCs w:val="32"/>
        </w:rPr>
        <w:t>Use a good toothbrush</w:t>
      </w:r>
    </w:p>
    <w:p w14:paraId="12E5E3B7" w14:textId="2E90F496" w:rsidR="65DC9E75" w:rsidRDefault="65DC9E75" w:rsidP="005F7078">
      <w:pPr>
        <w:jc w:val="both"/>
        <w:rPr>
          <w:rFonts w:eastAsiaTheme="minorEastAsia"/>
          <w:color w:val="374151"/>
          <w:sz w:val="28"/>
          <w:szCs w:val="28"/>
        </w:rPr>
      </w:pPr>
      <w:r w:rsidRPr="65DC9E75">
        <w:rPr>
          <w:rFonts w:eastAsiaTheme="minorEastAsia"/>
          <w:color w:val="374151"/>
          <w:sz w:val="28"/>
          <w:szCs w:val="28"/>
        </w:rPr>
        <w:t xml:space="preserve">Using the right tools for the job is always a good idea, and it applies to toothbrushes to prevent tooth decay. The best toothbrushes will be ones with soft bristles, as they are gentle on the gums while also efficiently being effective at removing plaque and debris (2).  It is important that the gums are cared for as they are the foundation of the teeth, with gum disease being a cause of tooth loss (3). </w:t>
      </w:r>
    </w:p>
    <w:p w14:paraId="3A9C9689" w14:textId="1E8303F5" w:rsidR="65DC9E75" w:rsidRDefault="65DC9E75" w:rsidP="005F7078">
      <w:pPr>
        <w:jc w:val="both"/>
        <w:rPr>
          <w:rFonts w:eastAsiaTheme="minorEastAsia"/>
          <w:color w:val="374151"/>
          <w:sz w:val="28"/>
          <w:szCs w:val="28"/>
        </w:rPr>
      </w:pPr>
      <w:r w:rsidRPr="65DC9E75">
        <w:rPr>
          <w:rFonts w:eastAsiaTheme="minorEastAsia"/>
          <w:color w:val="374151"/>
          <w:sz w:val="28"/>
          <w:szCs w:val="28"/>
        </w:rPr>
        <w:t xml:space="preserve">When considering which toothbrush to buy, it is worth considering electric and sonic toothbrushes as well as manual toothbrushes. These toothbrushes are more effective at removing plaque than manual toothbrushes, especially sonic toothbrushes, as the vibrations enable fluid to reach areas beyond the bristles’ physical contact. Sonic toothbrushes are also able to disrupt plaque more effectively. Whichever toothbrush you choose, the head or whole toothbrush should be replaced as soon as the bristles start to splay apart. This is usually around three months (2). </w:t>
      </w:r>
    </w:p>
    <w:p w14:paraId="29B280F6" w14:textId="27DF1846" w:rsidR="65DC9E75" w:rsidRDefault="65DC9E75" w:rsidP="005F7078">
      <w:pPr>
        <w:jc w:val="both"/>
        <w:rPr>
          <w:rFonts w:eastAsiaTheme="minorEastAsia"/>
          <w:color w:val="374151"/>
          <w:sz w:val="28"/>
          <w:szCs w:val="28"/>
        </w:rPr>
      </w:pPr>
    </w:p>
    <w:p w14:paraId="1E781B70" w14:textId="31CE5E2C" w:rsidR="006E0BB5" w:rsidRPr="00EB3FB3" w:rsidRDefault="65DC9E75" w:rsidP="005F7078">
      <w:pPr>
        <w:spacing w:after="0"/>
        <w:jc w:val="both"/>
        <w:rPr>
          <w:rFonts w:eastAsiaTheme="minorEastAsia"/>
          <w:b/>
          <w:color w:val="374151"/>
          <w:sz w:val="32"/>
          <w:szCs w:val="32"/>
        </w:rPr>
      </w:pPr>
      <w:r w:rsidRPr="00EB3FB3">
        <w:rPr>
          <w:rFonts w:eastAsiaTheme="minorEastAsia"/>
          <w:b/>
          <w:color w:val="374151"/>
          <w:sz w:val="32"/>
          <w:szCs w:val="32"/>
        </w:rPr>
        <w:t>Practice Regular Oral Hygiene</w:t>
      </w:r>
    </w:p>
    <w:p w14:paraId="3DB7A808" w14:textId="609DA2B2" w:rsidR="006E0BB5" w:rsidRDefault="65DC9E75" w:rsidP="005F7078">
      <w:pPr>
        <w:spacing w:after="0"/>
        <w:jc w:val="both"/>
        <w:rPr>
          <w:rFonts w:eastAsiaTheme="minorEastAsia"/>
          <w:color w:val="374151"/>
          <w:sz w:val="28"/>
          <w:szCs w:val="28"/>
        </w:rPr>
      </w:pPr>
      <w:r w:rsidRPr="65DC9E75">
        <w:rPr>
          <w:rFonts w:eastAsiaTheme="minorEastAsia"/>
          <w:color w:val="374151"/>
          <w:sz w:val="28"/>
          <w:szCs w:val="28"/>
        </w:rPr>
        <w:t xml:space="preserve">Good oral hygiene is the foundation for preventing tooth decay, with the magic number being two! In other words, make sure you brush your teeth twice a day for two minutes (2). During those two minutes, make sure that every surface of the teeth is covered, including the back, front, and biting surface. It is also better to just </w:t>
      </w:r>
      <w:r w:rsidRPr="65DC9E75">
        <w:rPr>
          <w:rFonts w:eastAsiaTheme="minorEastAsia"/>
          <w:color w:val="374151"/>
          <w:sz w:val="28"/>
          <w:szCs w:val="28"/>
        </w:rPr>
        <w:lastRenderedPageBreak/>
        <w:t>spit out the excess liquid in the mouth and not rinse with water after brushing. Not rinsing will allow the fluoride in the toothpaste to work for just a little longer. It is also important to floss in between the teeth before brushing and to use mouthwash (4).</w:t>
      </w:r>
    </w:p>
    <w:p w14:paraId="76123894" w14:textId="7D3AFD85" w:rsidR="006E0BB5" w:rsidRDefault="006E0BB5" w:rsidP="005F7078">
      <w:pPr>
        <w:spacing w:after="0"/>
        <w:jc w:val="both"/>
        <w:rPr>
          <w:rFonts w:eastAsiaTheme="minorEastAsia"/>
          <w:color w:val="374151"/>
          <w:sz w:val="28"/>
          <w:szCs w:val="28"/>
        </w:rPr>
      </w:pPr>
    </w:p>
    <w:p w14:paraId="597A4A6E" w14:textId="3131BD41" w:rsidR="006E0BB5" w:rsidRDefault="65DC9E75" w:rsidP="005F7078">
      <w:pPr>
        <w:spacing w:after="0"/>
        <w:jc w:val="both"/>
        <w:rPr>
          <w:rFonts w:eastAsiaTheme="minorEastAsia"/>
          <w:color w:val="374151"/>
          <w:sz w:val="28"/>
          <w:szCs w:val="28"/>
        </w:rPr>
      </w:pPr>
      <w:r w:rsidRPr="65DC9E75">
        <w:rPr>
          <w:rFonts w:eastAsiaTheme="minorEastAsia"/>
          <w:color w:val="374151"/>
          <w:sz w:val="28"/>
          <w:szCs w:val="28"/>
        </w:rPr>
        <w:t xml:space="preserve">Do not clean teeth immediately after eating. </w:t>
      </w:r>
    </w:p>
    <w:p w14:paraId="52527E07" w14:textId="12E51CA2" w:rsidR="65DC9E75" w:rsidRDefault="65DC9E75" w:rsidP="005F7078">
      <w:pPr>
        <w:spacing w:after="0"/>
        <w:jc w:val="both"/>
        <w:rPr>
          <w:rFonts w:eastAsiaTheme="minorEastAsia"/>
          <w:color w:val="374151"/>
          <w:sz w:val="28"/>
          <w:szCs w:val="28"/>
        </w:rPr>
      </w:pPr>
    </w:p>
    <w:p w14:paraId="7CF6E167" w14:textId="315E8B7A" w:rsidR="65DC9E75" w:rsidRDefault="65DC9E75" w:rsidP="005F7078">
      <w:pPr>
        <w:jc w:val="both"/>
        <w:rPr>
          <w:rFonts w:eastAsiaTheme="minorEastAsia"/>
          <w:color w:val="374151"/>
          <w:sz w:val="28"/>
          <w:szCs w:val="28"/>
        </w:rPr>
      </w:pPr>
      <w:r w:rsidRPr="65DC9E75">
        <w:rPr>
          <w:rFonts w:eastAsiaTheme="minorEastAsia"/>
          <w:color w:val="374151"/>
          <w:sz w:val="28"/>
          <w:szCs w:val="28"/>
        </w:rPr>
        <w:t xml:space="preserve">Not cleaning the teeth immediately after eating may sound counterintuitive. However, there is a good reason why you should wait approximately half an hour. After eating foods, especially those that are acidic, such as citrus fruits or tomatoes, or sugary, such as cakes, biscuits, or puddings, the pH level in the mouth will be acidic. This acid weakens and softens the protective enamel on the teeth. Therefore, brushing right away will wear down the enamel, causing it to erode over time. Long-term, this can then lead to tooth decay. Waiting around thirty minutes before brushing allows the enamel to harden again (5). </w:t>
      </w:r>
    </w:p>
    <w:p w14:paraId="714AC105" w14:textId="4189408D" w:rsidR="65DC9E75" w:rsidRDefault="65DC9E75" w:rsidP="005F7078">
      <w:pPr>
        <w:jc w:val="both"/>
        <w:rPr>
          <w:rFonts w:eastAsiaTheme="minorEastAsia"/>
          <w:color w:val="374151"/>
          <w:sz w:val="28"/>
          <w:szCs w:val="28"/>
        </w:rPr>
      </w:pPr>
      <w:r w:rsidRPr="65DC9E75">
        <w:rPr>
          <w:rFonts w:eastAsiaTheme="minorEastAsia"/>
          <w:color w:val="374151"/>
          <w:sz w:val="28"/>
          <w:szCs w:val="28"/>
        </w:rPr>
        <w:t xml:space="preserve">If the need to clean your mouth is overwhelming, have a drink of water and swish it around the mouth to wash away food particles that are stuck in between the teeth (6). Another tip is to chew sugar-free gum. This stimulates the production of saliva, which helps neutralise the acidic environment (7).  Finally, instead of brushing your teeth after a meal, if you want that ‘fresh’ feeling, using mouthwash can help. Do not be tempted to use mouthwash after brushing your teeth, though, as, like rinsing with water, it will wash away the residue of fluoride (8). </w:t>
      </w:r>
    </w:p>
    <w:p w14:paraId="69692072" w14:textId="2146DD71" w:rsidR="65DC9E75" w:rsidRDefault="65DC9E75" w:rsidP="005F7078">
      <w:pPr>
        <w:spacing w:after="0"/>
        <w:jc w:val="both"/>
        <w:rPr>
          <w:rFonts w:eastAsiaTheme="minorEastAsia"/>
          <w:color w:val="374151"/>
          <w:sz w:val="28"/>
          <w:szCs w:val="28"/>
        </w:rPr>
      </w:pPr>
    </w:p>
    <w:p w14:paraId="54EA5665" w14:textId="4D32E49F" w:rsidR="65DC9E75" w:rsidRPr="00EB3FB3" w:rsidRDefault="65DC9E75" w:rsidP="005F7078">
      <w:pPr>
        <w:spacing w:after="0"/>
        <w:jc w:val="both"/>
        <w:rPr>
          <w:rFonts w:eastAsiaTheme="minorEastAsia"/>
          <w:b/>
          <w:color w:val="374151"/>
          <w:sz w:val="32"/>
          <w:szCs w:val="32"/>
        </w:rPr>
      </w:pPr>
      <w:r w:rsidRPr="00EB3FB3">
        <w:rPr>
          <w:rFonts w:eastAsiaTheme="minorEastAsia"/>
          <w:b/>
          <w:color w:val="374151"/>
          <w:sz w:val="32"/>
          <w:szCs w:val="32"/>
        </w:rPr>
        <w:t>Visit the dentist regularly</w:t>
      </w:r>
    </w:p>
    <w:p w14:paraId="6B8E0078" w14:textId="0923FD0F" w:rsidR="65DC9E75" w:rsidRDefault="65DC9E75" w:rsidP="005F7078">
      <w:pPr>
        <w:spacing w:after="0"/>
        <w:jc w:val="both"/>
        <w:rPr>
          <w:rFonts w:eastAsiaTheme="minorEastAsia"/>
          <w:color w:val="374151"/>
          <w:sz w:val="28"/>
          <w:szCs w:val="28"/>
        </w:rPr>
      </w:pPr>
      <w:r w:rsidRPr="65DC9E75">
        <w:rPr>
          <w:rFonts w:eastAsiaTheme="minorEastAsia"/>
          <w:color w:val="374151"/>
          <w:sz w:val="28"/>
          <w:szCs w:val="28"/>
        </w:rPr>
        <w:t xml:space="preserve">Although it may not be your favourite way to spend time and money, going for regular dental checkups is important for preventing tooth decay and pain further down the line. Remember, prevention is better than cure.  This is because the dentist can spot early signs of decay and treat them before they get out of control. While at the dental surgery it is also important to get teeth cleaned professionally by the hygienist (9). </w:t>
      </w:r>
    </w:p>
    <w:p w14:paraId="688F08C2" w14:textId="04BC3089" w:rsidR="65DC9E75" w:rsidRDefault="65DC9E75" w:rsidP="005F7078">
      <w:pPr>
        <w:spacing w:after="0"/>
        <w:jc w:val="both"/>
        <w:rPr>
          <w:rFonts w:eastAsiaTheme="minorEastAsia"/>
          <w:color w:val="374151"/>
          <w:sz w:val="28"/>
          <w:szCs w:val="28"/>
        </w:rPr>
      </w:pPr>
    </w:p>
    <w:p w14:paraId="2C078E63" w14:textId="646FBDA1" w:rsidR="006E0BB5" w:rsidRDefault="65DC9E75" w:rsidP="005F7078">
      <w:pPr>
        <w:spacing w:after="0"/>
        <w:jc w:val="both"/>
        <w:rPr>
          <w:rFonts w:eastAsiaTheme="minorEastAsia"/>
          <w:color w:val="374151"/>
          <w:sz w:val="28"/>
          <w:szCs w:val="28"/>
        </w:rPr>
      </w:pPr>
      <w:r w:rsidRPr="65DC9E75">
        <w:rPr>
          <w:rFonts w:eastAsiaTheme="minorEastAsia"/>
          <w:color w:val="374151"/>
          <w:sz w:val="28"/>
          <w:szCs w:val="28"/>
        </w:rPr>
        <w:t xml:space="preserve">By adding these strategies to your daily routine, you can significantly reduce the risk of tooth decay and maintain a healthy, beautiful smile. </w:t>
      </w:r>
    </w:p>
    <w:bookmarkEnd w:id="0"/>
    <w:p w14:paraId="1B8A11CE" w14:textId="55FC5E56" w:rsidR="3C6E90AA" w:rsidRDefault="3C6E90AA" w:rsidP="65DC9E75">
      <w:pPr>
        <w:rPr>
          <w:rFonts w:eastAsiaTheme="minorEastAsia"/>
          <w:sz w:val="28"/>
          <w:szCs w:val="28"/>
        </w:rPr>
      </w:pPr>
    </w:p>
    <w:p w14:paraId="7A2EF357" w14:textId="1AC10A96" w:rsidR="65DC9E75" w:rsidRDefault="65DC9E75" w:rsidP="65DC9E75">
      <w:pPr>
        <w:rPr>
          <w:rFonts w:eastAsiaTheme="minorEastAsia"/>
          <w:sz w:val="28"/>
          <w:szCs w:val="28"/>
        </w:rPr>
      </w:pPr>
      <w:r w:rsidRPr="65DC9E75">
        <w:rPr>
          <w:rFonts w:eastAsiaTheme="minorEastAsia"/>
          <w:sz w:val="28"/>
          <w:szCs w:val="28"/>
        </w:rPr>
        <w:lastRenderedPageBreak/>
        <w:t>References</w:t>
      </w:r>
    </w:p>
    <w:p w14:paraId="3CA9C2AC" w14:textId="57A9F8EE" w:rsidR="65DC9E75" w:rsidRDefault="65DC9E75" w:rsidP="65DC9E75">
      <w:pPr>
        <w:pStyle w:val="ListParagraph"/>
        <w:numPr>
          <w:ilvl w:val="0"/>
          <w:numId w:val="9"/>
        </w:numPr>
        <w:rPr>
          <w:rFonts w:eastAsiaTheme="minorEastAsia"/>
          <w:color w:val="000000" w:themeColor="text1"/>
          <w:sz w:val="28"/>
          <w:szCs w:val="28"/>
        </w:rPr>
      </w:pPr>
      <w:r w:rsidRPr="65DC9E75">
        <w:rPr>
          <w:rFonts w:eastAsiaTheme="minorEastAsia"/>
          <w:color w:val="374151"/>
          <w:sz w:val="28"/>
          <w:szCs w:val="28"/>
        </w:rPr>
        <w:t xml:space="preserve">Microbiology of Dental Decay and Periodontal Disease  </w:t>
      </w:r>
      <w:hyperlink r:id="rId5">
        <w:r w:rsidRPr="65DC9E75">
          <w:rPr>
            <w:rStyle w:val="Hyperlink"/>
            <w:rFonts w:eastAsiaTheme="minorEastAsia"/>
            <w:sz w:val="28"/>
            <w:szCs w:val="28"/>
          </w:rPr>
          <w:t>https://www.ncbi.nlm.nih.gov/books/NBK8259/</w:t>
        </w:r>
      </w:hyperlink>
    </w:p>
    <w:p w14:paraId="5F470F51" w14:textId="5FEF5FA2" w:rsidR="65DC9E75" w:rsidRDefault="65DC9E75" w:rsidP="65DC9E75">
      <w:pPr>
        <w:pStyle w:val="ListParagraph"/>
        <w:numPr>
          <w:ilvl w:val="0"/>
          <w:numId w:val="9"/>
        </w:numPr>
        <w:rPr>
          <w:rFonts w:eastAsiaTheme="minorEastAsia"/>
          <w:color w:val="374151"/>
          <w:sz w:val="28"/>
          <w:szCs w:val="28"/>
        </w:rPr>
      </w:pPr>
      <w:r w:rsidRPr="65DC9E75">
        <w:rPr>
          <w:rFonts w:eastAsiaTheme="minorEastAsia"/>
          <w:color w:val="374151"/>
          <w:sz w:val="28"/>
          <w:szCs w:val="28"/>
        </w:rPr>
        <w:t xml:space="preserve">Toothbrushes </w:t>
      </w:r>
      <w:hyperlink r:id="rId6">
        <w:r w:rsidRPr="65DC9E75">
          <w:rPr>
            <w:rStyle w:val="Hyperlink"/>
            <w:rFonts w:eastAsiaTheme="minorEastAsia"/>
            <w:sz w:val="28"/>
            <w:szCs w:val="28"/>
          </w:rPr>
          <w:t>https://www.ada.org/en/resources/research/science-and-research-institute/oral-health-topics/toothbrushes</w:t>
        </w:r>
      </w:hyperlink>
    </w:p>
    <w:p w14:paraId="4E4D7BFF" w14:textId="69AB46CC" w:rsidR="65DC9E75" w:rsidRDefault="65DC9E75" w:rsidP="65DC9E75">
      <w:pPr>
        <w:pStyle w:val="ListParagraph"/>
        <w:numPr>
          <w:ilvl w:val="0"/>
          <w:numId w:val="9"/>
        </w:numPr>
        <w:rPr>
          <w:rFonts w:eastAsiaTheme="minorEastAsia"/>
          <w:color w:val="000000" w:themeColor="text1"/>
          <w:sz w:val="28"/>
          <w:szCs w:val="28"/>
        </w:rPr>
      </w:pPr>
      <w:r w:rsidRPr="65DC9E75">
        <w:rPr>
          <w:rFonts w:eastAsiaTheme="minorEastAsia"/>
          <w:color w:val="374151"/>
          <w:sz w:val="28"/>
          <w:szCs w:val="28"/>
        </w:rPr>
        <w:t xml:space="preserve">Periodontitis </w:t>
      </w:r>
      <w:hyperlink r:id="rId7">
        <w:r w:rsidRPr="65DC9E75">
          <w:rPr>
            <w:rStyle w:val="Hyperlink"/>
            <w:rFonts w:eastAsiaTheme="minorEastAsia"/>
            <w:sz w:val="28"/>
            <w:szCs w:val="28"/>
          </w:rPr>
          <w:t>https://my.clevelandclinic.org/health/diseases/16620-periodontitis</w:t>
        </w:r>
      </w:hyperlink>
    </w:p>
    <w:p w14:paraId="41F10BF7" w14:textId="394FC66D" w:rsidR="65DC9E75" w:rsidRDefault="65DC9E75" w:rsidP="65DC9E75">
      <w:pPr>
        <w:pStyle w:val="ListParagraph"/>
        <w:numPr>
          <w:ilvl w:val="0"/>
          <w:numId w:val="9"/>
        </w:numPr>
        <w:rPr>
          <w:rFonts w:eastAsiaTheme="minorEastAsia"/>
          <w:color w:val="000000" w:themeColor="text1"/>
          <w:sz w:val="28"/>
          <w:szCs w:val="28"/>
        </w:rPr>
      </w:pPr>
      <w:r w:rsidRPr="65DC9E75">
        <w:rPr>
          <w:rFonts w:eastAsiaTheme="minorEastAsia"/>
          <w:color w:val="000000" w:themeColor="text1"/>
          <w:sz w:val="28"/>
          <w:szCs w:val="28"/>
        </w:rPr>
        <w:t xml:space="preserve">How to keep your teeth clean </w:t>
      </w:r>
      <w:hyperlink r:id="rId8">
        <w:r w:rsidRPr="65DC9E75">
          <w:rPr>
            <w:rStyle w:val="Hyperlink"/>
            <w:rFonts w:eastAsiaTheme="minorEastAsia"/>
            <w:sz w:val="28"/>
            <w:szCs w:val="28"/>
          </w:rPr>
          <w:t>https://www.nhs.uk/live-well/healthy-teeth-and-gums/how-to-keep-your-teeth-clean/</w:t>
        </w:r>
      </w:hyperlink>
    </w:p>
    <w:p w14:paraId="7934BA92" w14:textId="3310F0A6" w:rsidR="65DC9E75" w:rsidRDefault="65DC9E75" w:rsidP="65DC9E75">
      <w:pPr>
        <w:pStyle w:val="ListParagraph"/>
        <w:numPr>
          <w:ilvl w:val="0"/>
          <w:numId w:val="9"/>
        </w:numPr>
        <w:rPr>
          <w:rFonts w:eastAsiaTheme="minorEastAsia"/>
          <w:color w:val="374151"/>
          <w:sz w:val="28"/>
          <w:szCs w:val="28"/>
        </w:rPr>
      </w:pPr>
      <w:r w:rsidRPr="65DC9E75">
        <w:rPr>
          <w:rFonts w:eastAsiaTheme="minorEastAsia"/>
          <w:color w:val="374151"/>
          <w:sz w:val="28"/>
          <w:szCs w:val="28"/>
        </w:rPr>
        <w:t xml:space="preserve">Does The pH Of Toothpaste Affect Your Enamel? </w:t>
      </w:r>
      <w:hyperlink r:id="rId9">
        <w:r w:rsidRPr="65DC9E75">
          <w:rPr>
            <w:rStyle w:val="Hyperlink"/>
            <w:rFonts w:eastAsiaTheme="minorEastAsia"/>
            <w:sz w:val="28"/>
            <w:szCs w:val="28"/>
          </w:rPr>
          <w:t>https://www.colgate.com/en-us/oral-health/adult-oral-care/ph-of-toothpaste-and-enamel</w:t>
        </w:r>
      </w:hyperlink>
      <w:r w:rsidRPr="65DC9E75">
        <w:rPr>
          <w:rFonts w:eastAsiaTheme="minorEastAsia"/>
          <w:color w:val="374151"/>
          <w:sz w:val="28"/>
          <w:szCs w:val="28"/>
        </w:rPr>
        <w:t>#</w:t>
      </w:r>
    </w:p>
    <w:p w14:paraId="4A77F316" w14:textId="10BB3AE0" w:rsidR="65DC9E75" w:rsidRDefault="65DC9E75" w:rsidP="65DC9E75">
      <w:pPr>
        <w:pStyle w:val="ListParagraph"/>
        <w:numPr>
          <w:ilvl w:val="0"/>
          <w:numId w:val="9"/>
        </w:numPr>
        <w:rPr>
          <w:rFonts w:eastAsiaTheme="minorEastAsia"/>
          <w:color w:val="000000" w:themeColor="text1"/>
          <w:sz w:val="28"/>
          <w:szCs w:val="28"/>
        </w:rPr>
      </w:pPr>
      <w:r w:rsidRPr="65DC9E75">
        <w:rPr>
          <w:rFonts w:eastAsiaTheme="minorEastAsia"/>
          <w:color w:val="374151"/>
          <w:sz w:val="28"/>
          <w:szCs w:val="28"/>
        </w:rPr>
        <w:t xml:space="preserve">Oral health </w:t>
      </w:r>
      <w:hyperlink r:id="rId10">
        <w:r w:rsidRPr="65DC9E75">
          <w:rPr>
            <w:rStyle w:val="Hyperlink"/>
            <w:rFonts w:eastAsiaTheme="minorEastAsia"/>
            <w:sz w:val="28"/>
            <w:szCs w:val="28"/>
          </w:rPr>
          <w:t>https://www.hsph.harvard.edu/nutritionsource/oral-health/</w:t>
        </w:r>
      </w:hyperlink>
    </w:p>
    <w:p w14:paraId="2B61A245" w14:textId="389E5876" w:rsidR="65DC9E75" w:rsidRDefault="65DC9E75" w:rsidP="65DC9E75">
      <w:pPr>
        <w:pStyle w:val="ListParagraph"/>
        <w:numPr>
          <w:ilvl w:val="0"/>
          <w:numId w:val="9"/>
        </w:numPr>
        <w:rPr>
          <w:rFonts w:eastAsiaTheme="minorEastAsia"/>
          <w:color w:val="374151"/>
          <w:sz w:val="28"/>
          <w:szCs w:val="28"/>
        </w:rPr>
      </w:pPr>
      <w:r w:rsidRPr="65DC9E75">
        <w:rPr>
          <w:rFonts w:eastAsiaTheme="minorEastAsia"/>
          <w:color w:val="374151"/>
          <w:sz w:val="28"/>
          <w:szCs w:val="28"/>
        </w:rPr>
        <w:t xml:space="preserve">Sugar free chewing gum </w:t>
      </w:r>
      <w:hyperlink r:id="rId11">
        <w:r w:rsidRPr="65DC9E75">
          <w:rPr>
            <w:rStyle w:val="Hyperlink"/>
            <w:rFonts w:eastAsiaTheme="minorEastAsia"/>
            <w:sz w:val="28"/>
            <w:szCs w:val="28"/>
          </w:rPr>
          <w:t>https://www.dentalhealth.org/sugar-free-chewing-gum</w:t>
        </w:r>
      </w:hyperlink>
    </w:p>
    <w:p w14:paraId="28D37F39" w14:textId="712A336F" w:rsidR="65DC9E75" w:rsidRDefault="65DC9E75" w:rsidP="65DC9E75">
      <w:pPr>
        <w:pStyle w:val="ListParagraph"/>
        <w:numPr>
          <w:ilvl w:val="0"/>
          <w:numId w:val="9"/>
        </w:numPr>
        <w:rPr>
          <w:rFonts w:eastAsiaTheme="minorEastAsia"/>
          <w:color w:val="374151"/>
          <w:sz w:val="28"/>
          <w:szCs w:val="28"/>
        </w:rPr>
      </w:pPr>
      <w:r w:rsidRPr="65DC9E75">
        <w:rPr>
          <w:rFonts w:eastAsiaTheme="minorEastAsia"/>
          <w:color w:val="374151"/>
          <w:sz w:val="28"/>
          <w:szCs w:val="28"/>
        </w:rPr>
        <w:t xml:space="preserve">Should You Use Mouthwash Before or After Brushing? </w:t>
      </w:r>
      <w:hyperlink r:id="rId12">
        <w:r w:rsidRPr="65DC9E75">
          <w:rPr>
            <w:rStyle w:val="Hyperlink"/>
            <w:rFonts w:eastAsiaTheme="minorEastAsia"/>
            <w:sz w:val="28"/>
            <w:szCs w:val="28"/>
          </w:rPr>
          <w:t>https://www.colgate.com/en-us/oral-health/brushing-and-flossing/should-you-use-mouthwash-before-or-after-brushing</w:t>
        </w:r>
      </w:hyperlink>
      <w:r w:rsidRPr="65DC9E75">
        <w:rPr>
          <w:rFonts w:eastAsiaTheme="minorEastAsia"/>
          <w:color w:val="374151"/>
          <w:sz w:val="28"/>
          <w:szCs w:val="28"/>
        </w:rPr>
        <w:t>#</w:t>
      </w:r>
    </w:p>
    <w:p w14:paraId="1E9A9C11" w14:textId="775C19CE" w:rsidR="65DC9E75" w:rsidRDefault="65DC9E75" w:rsidP="65DC9E75">
      <w:pPr>
        <w:pStyle w:val="ListParagraph"/>
        <w:numPr>
          <w:ilvl w:val="0"/>
          <w:numId w:val="9"/>
        </w:numPr>
        <w:rPr>
          <w:rFonts w:eastAsiaTheme="minorEastAsia"/>
          <w:color w:val="000000" w:themeColor="text1"/>
          <w:sz w:val="28"/>
          <w:szCs w:val="28"/>
        </w:rPr>
      </w:pPr>
      <w:r w:rsidRPr="65DC9E75">
        <w:rPr>
          <w:rFonts w:eastAsiaTheme="minorEastAsia"/>
          <w:color w:val="374151"/>
          <w:sz w:val="28"/>
          <w:szCs w:val="28"/>
        </w:rPr>
        <w:t xml:space="preserve">The importance of regular dental visits </w:t>
      </w:r>
      <w:hyperlink r:id="rId13">
        <w:r w:rsidRPr="65DC9E75">
          <w:rPr>
            <w:rStyle w:val="Hyperlink"/>
            <w:rFonts w:eastAsiaTheme="minorEastAsia"/>
            <w:sz w:val="28"/>
            <w:szCs w:val="28"/>
          </w:rPr>
          <w:t>https://www.dentalhealth.org/blog/the-importance-of-regular-dental-visits</w:t>
        </w:r>
      </w:hyperlink>
    </w:p>
    <w:p w14:paraId="54387BA0" w14:textId="5AC047CA" w:rsidR="65DC9E75" w:rsidRDefault="65DC9E75" w:rsidP="65DC9E75"/>
    <w:sectPr w:rsidR="65DC9E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FA80E"/>
    <w:multiLevelType w:val="hybridMultilevel"/>
    <w:tmpl w:val="BC768980"/>
    <w:lvl w:ilvl="0" w:tplc="6066C10E">
      <w:start w:val="9"/>
      <w:numFmt w:val="decimal"/>
      <w:lvlText w:val="%1."/>
      <w:lvlJc w:val="left"/>
      <w:pPr>
        <w:ind w:left="720" w:hanging="360"/>
      </w:pPr>
    </w:lvl>
    <w:lvl w:ilvl="1" w:tplc="CE541C0A">
      <w:start w:val="1"/>
      <w:numFmt w:val="lowerLetter"/>
      <w:lvlText w:val="%2."/>
      <w:lvlJc w:val="left"/>
      <w:pPr>
        <w:ind w:left="1440" w:hanging="360"/>
      </w:pPr>
    </w:lvl>
    <w:lvl w:ilvl="2" w:tplc="15C454D8">
      <w:start w:val="1"/>
      <w:numFmt w:val="lowerRoman"/>
      <w:lvlText w:val="%3."/>
      <w:lvlJc w:val="right"/>
      <w:pPr>
        <w:ind w:left="2160" w:hanging="180"/>
      </w:pPr>
    </w:lvl>
    <w:lvl w:ilvl="3" w:tplc="7C12216E">
      <w:start w:val="1"/>
      <w:numFmt w:val="decimal"/>
      <w:lvlText w:val="%4."/>
      <w:lvlJc w:val="left"/>
      <w:pPr>
        <w:ind w:left="2880" w:hanging="360"/>
      </w:pPr>
    </w:lvl>
    <w:lvl w:ilvl="4" w:tplc="DB7828DA">
      <w:start w:val="1"/>
      <w:numFmt w:val="lowerLetter"/>
      <w:lvlText w:val="%5."/>
      <w:lvlJc w:val="left"/>
      <w:pPr>
        <w:ind w:left="3600" w:hanging="360"/>
      </w:pPr>
    </w:lvl>
    <w:lvl w:ilvl="5" w:tplc="9FF28CC2">
      <w:start w:val="1"/>
      <w:numFmt w:val="lowerRoman"/>
      <w:lvlText w:val="%6."/>
      <w:lvlJc w:val="right"/>
      <w:pPr>
        <w:ind w:left="4320" w:hanging="180"/>
      </w:pPr>
    </w:lvl>
    <w:lvl w:ilvl="6" w:tplc="6FE4F204">
      <w:start w:val="1"/>
      <w:numFmt w:val="decimal"/>
      <w:lvlText w:val="%7."/>
      <w:lvlJc w:val="left"/>
      <w:pPr>
        <w:ind w:left="5040" w:hanging="360"/>
      </w:pPr>
    </w:lvl>
    <w:lvl w:ilvl="7" w:tplc="491C28A0">
      <w:start w:val="1"/>
      <w:numFmt w:val="lowerLetter"/>
      <w:lvlText w:val="%8."/>
      <w:lvlJc w:val="left"/>
      <w:pPr>
        <w:ind w:left="5760" w:hanging="360"/>
      </w:pPr>
    </w:lvl>
    <w:lvl w:ilvl="8" w:tplc="0DB08CB6">
      <w:start w:val="1"/>
      <w:numFmt w:val="lowerRoman"/>
      <w:lvlText w:val="%9."/>
      <w:lvlJc w:val="right"/>
      <w:pPr>
        <w:ind w:left="6480" w:hanging="180"/>
      </w:pPr>
    </w:lvl>
  </w:abstractNum>
  <w:abstractNum w:abstractNumId="1" w15:restartNumberingAfterBreak="0">
    <w:nsid w:val="28468C8A"/>
    <w:multiLevelType w:val="hybridMultilevel"/>
    <w:tmpl w:val="28D82B74"/>
    <w:lvl w:ilvl="0" w:tplc="51B635A6">
      <w:start w:val="1"/>
      <w:numFmt w:val="bullet"/>
      <w:lvlText w:val=""/>
      <w:lvlJc w:val="left"/>
      <w:pPr>
        <w:ind w:left="720" w:hanging="360"/>
      </w:pPr>
      <w:rPr>
        <w:rFonts w:ascii="Symbol" w:hAnsi="Symbol" w:hint="default"/>
      </w:rPr>
    </w:lvl>
    <w:lvl w:ilvl="1" w:tplc="985476EE">
      <w:start w:val="1"/>
      <w:numFmt w:val="bullet"/>
      <w:lvlText w:val="o"/>
      <w:lvlJc w:val="left"/>
      <w:pPr>
        <w:ind w:left="1440" w:hanging="360"/>
      </w:pPr>
      <w:rPr>
        <w:rFonts w:ascii="Courier New" w:hAnsi="Courier New" w:hint="default"/>
      </w:rPr>
    </w:lvl>
    <w:lvl w:ilvl="2" w:tplc="29982A8E">
      <w:start w:val="1"/>
      <w:numFmt w:val="bullet"/>
      <w:lvlText w:val=""/>
      <w:lvlJc w:val="left"/>
      <w:pPr>
        <w:ind w:left="2160" w:hanging="360"/>
      </w:pPr>
      <w:rPr>
        <w:rFonts w:ascii="Wingdings" w:hAnsi="Wingdings" w:hint="default"/>
      </w:rPr>
    </w:lvl>
    <w:lvl w:ilvl="3" w:tplc="0AA49B8C">
      <w:start w:val="1"/>
      <w:numFmt w:val="bullet"/>
      <w:lvlText w:val=""/>
      <w:lvlJc w:val="left"/>
      <w:pPr>
        <w:ind w:left="2880" w:hanging="360"/>
      </w:pPr>
      <w:rPr>
        <w:rFonts w:ascii="Symbol" w:hAnsi="Symbol" w:hint="default"/>
      </w:rPr>
    </w:lvl>
    <w:lvl w:ilvl="4" w:tplc="DCEE33FC">
      <w:start w:val="1"/>
      <w:numFmt w:val="bullet"/>
      <w:lvlText w:val="o"/>
      <w:lvlJc w:val="left"/>
      <w:pPr>
        <w:ind w:left="3600" w:hanging="360"/>
      </w:pPr>
      <w:rPr>
        <w:rFonts w:ascii="Courier New" w:hAnsi="Courier New" w:hint="default"/>
      </w:rPr>
    </w:lvl>
    <w:lvl w:ilvl="5" w:tplc="AC24966C">
      <w:start w:val="1"/>
      <w:numFmt w:val="bullet"/>
      <w:lvlText w:val=""/>
      <w:lvlJc w:val="left"/>
      <w:pPr>
        <w:ind w:left="4320" w:hanging="360"/>
      </w:pPr>
      <w:rPr>
        <w:rFonts w:ascii="Wingdings" w:hAnsi="Wingdings" w:hint="default"/>
      </w:rPr>
    </w:lvl>
    <w:lvl w:ilvl="6" w:tplc="4D8C6850">
      <w:start w:val="1"/>
      <w:numFmt w:val="bullet"/>
      <w:lvlText w:val=""/>
      <w:lvlJc w:val="left"/>
      <w:pPr>
        <w:ind w:left="5040" w:hanging="360"/>
      </w:pPr>
      <w:rPr>
        <w:rFonts w:ascii="Symbol" w:hAnsi="Symbol" w:hint="default"/>
      </w:rPr>
    </w:lvl>
    <w:lvl w:ilvl="7" w:tplc="5F302960">
      <w:start w:val="1"/>
      <w:numFmt w:val="bullet"/>
      <w:lvlText w:val="o"/>
      <w:lvlJc w:val="left"/>
      <w:pPr>
        <w:ind w:left="5760" w:hanging="360"/>
      </w:pPr>
      <w:rPr>
        <w:rFonts w:ascii="Courier New" w:hAnsi="Courier New" w:hint="default"/>
      </w:rPr>
    </w:lvl>
    <w:lvl w:ilvl="8" w:tplc="CD1649F2">
      <w:start w:val="1"/>
      <w:numFmt w:val="bullet"/>
      <w:lvlText w:val=""/>
      <w:lvlJc w:val="left"/>
      <w:pPr>
        <w:ind w:left="6480" w:hanging="360"/>
      </w:pPr>
      <w:rPr>
        <w:rFonts w:ascii="Wingdings" w:hAnsi="Wingdings" w:hint="default"/>
      </w:rPr>
    </w:lvl>
  </w:abstractNum>
  <w:abstractNum w:abstractNumId="2" w15:restartNumberingAfterBreak="0">
    <w:nsid w:val="28E0FAE8"/>
    <w:multiLevelType w:val="hybridMultilevel"/>
    <w:tmpl w:val="B3AC5B7C"/>
    <w:lvl w:ilvl="0" w:tplc="00B09B9A">
      <w:start w:val="3"/>
      <w:numFmt w:val="decimal"/>
      <w:lvlText w:val="%1."/>
      <w:lvlJc w:val="left"/>
      <w:pPr>
        <w:ind w:left="720" w:hanging="360"/>
      </w:pPr>
    </w:lvl>
    <w:lvl w:ilvl="1" w:tplc="FB10511A">
      <w:start w:val="1"/>
      <w:numFmt w:val="lowerLetter"/>
      <w:lvlText w:val="%2."/>
      <w:lvlJc w:val="left"/>
      <w:pPr>
        <w:ind w:left="1440" w:hanging="360"/>
      </w:pPr>
    </w:lvl>
    <w:lvl w:ilvl="2" w:tplc="E3B09C48">
      <w:start w:val="1"/>
      <w:numFmt w:val="lowerRoman"/>
      <w:lvlText w:val="%3."/>
      <w:lvlJc w:val="right"/>
      <w:pPr>
        <w:ind w:left="2160" w:hanging="180"/>
      </w:pPr>
    </w:lvl>
    <w:lvl w:ilvl="3" w:tplc="19E6CDFE">
      <w:start w:val="1"/>
      <w:numFmt w:val="decimal"/>
      <w:lvlText w:val="%4."/>
      <w:lvlJc w:val="left"/>
      <w:pPr>
        <w:ind w:left="2880" w:hanging="360"/>
      </w:pPr>
    </w:lvl>
    <w:lvl w:ilvl="4" w:tplc="44D2A10A">
      <w:start w:val="1"/>
      <w:numFmt w:val="lowerLetter"/>
      <w:lvlText w:val="%5."/>
      <w:lvlJc w:val="left"/>
      <w:pPr>
        <w:ind w:left="3600" w:hanging="360"/>
      </w:pPr>
    </w:lvl>
    <w:lvl w:ilvl="5" w:tplc="90E6530C">
      <w:start w:val="1"/>
      <w:numFmt w:val="lowerRoman"/>
      <w:lvlText w:val="%6."/>
      <w:lvlJc w:val="right"/>
      <w:pPr>
        <w:ind w:left="4320" w:hanging="180"/>
      </w:pPr>
    </w:lvl>
    <w:lvl w:ilvl="6" w:tplc="648E33DC">
      <w:start w:val="1"/>
      <w:numFmt w:val="decimal"/>
      <w:lvlText w:val="%7."/>
      <w:lvlJc w:val="left"/>
      <w:pPr>
        <w:ind w:left="5040" w:hanging="360"/>
      </w:pPr>
    </w:lvl>
    <w:lvl w:ilvl="7" w:tplc="C658B346">
      <w:start w:val="1"/>
      <w:numFmt w:val="lowerLetter"/>
      <w:lvlText w:val="%8."/>
      <w:lvlJc w:val="left"/>
      <w:pPr>
        <w:ind w:left="5760" w:hanging="360"/>
      </w:pPr>
    </w:lvl>
    <w:lvl w:ilvl="8" w:tplc="029C81AC">
      <w:start w:val="1"/>
      <w:numFmt w:val="lowerRoman"/>
      <w:lvlText w:val="%9."/>
      <w:lvlJc w:val="right"/>
      <w:pPr>
        <w:ind w:left="6480" w:hanging="180"/>
      </w:pPr>
    </w:lvl>
  </w:abstractNum>
  <w:abstractNum w:abstractNumId="3" w15:restartNumberingAfterBreak="0">
    <w:nsid w:val="39F1D096"/>
    <w:multiLevelType w:val="hybridMultilevel"/>
    <w:tmpl w:val="6E948A44"/>
    <w:lvl w:ilvl="0" w:tplc="CFFEF3C2">
      <w:start w:val="1"/>
      <w:numFmt w:val="decimal"/>
      <w:lvlText w:val="%1."/>
      <w:lvlJc w:val="left"/>
      <w:pPr>
        <w:ind w:left="720" w:hanging="360"/>
      </w:pPr>
    </w:lvl>
    <w:lvl w:ilvl="1" w:tplc="1CC4EEF4">
      <w:start w:val="1"/>
      <w:numFmt w:val="lowerLetter"/>
      <w:lvlText w:val="%2."/>
      <w:lvlJc w:val="left"/>
      <w:pPr>
        <w:ind w:left="1440" w:hanging="360"/>
      </w:pPr>
    </w:lvl>
    <w:lvl w:ilvl="2" w:tplc="A80E8D82">
      <w:start w:val="1"/>
      <w:numFmt w:val="lowerRoman"/>
      <w:lvlText w:val="%3."/>
      <w:lvlJc w:val="right"/>
      <w:pPr>
        <w:ind w:left="2160" w:hanging="180"/>
      </w:pPr>
    </w:lvl>
    <w:lvl w:ilvl="3" w:tplc="49D262E4">
      <w:start w:val="1"/>
      <w:numFmt w:val="decimal"/>
      <w:lvlText w:val="%4."/>
      <w:lvlJc w:val="left"/>
      <w:pPr>
        <w:ind w:left="2880" w:hanging="360"/>
      </w:pPr>
    </w:lvl>
    <w:lvl w:ilvl="4" w:tplc="60D8C2B6">
      <w:start w:val="1"/>
      <w:numFmt w:val="lowerLetter"/>
      <w:lvlText w:val="%5."/>
      <w:lvlJc w:val="left"/>
      <w:pPr>
        <w:ind w:left="3600" w:hanging="360"/>
      </w:pPr>
    </w:lvl>
    <w:lvl w:ilvl="5" w:tplc="729413B0">
      <w:start w:val="1"/>
      <w:numFmt w:val="lowerRoman"/>
      <w:lvlText w:val="%6."/>
      <w:lvlJc w:val="right"/>
      <w:pPr>
        <w:ind w:left="4320" w:hanging="180"/>
      </w:pPr>
    </w:lvl>
    <w:lvl w:ilvl="6" w:tplc="B8646EBC">
      <w:start w:val="1"/>
      <w:numFmt w:val="decimal"/>
      <w:lvlText w:val="%7."/>
      <w:lvlJc w:val="left"/>
      <w:pPr>
        <w:ind w:left="5040" w:hanging="360"/>
      </w:pPr>
    </w:lvl>
    <w:lvl w:ilvl="7" w:tplc="993883E4">
      <w:start w:val="1"/>
      <w:numFmt w:val="lowerLetter"/>
      <w:lvlText w:val="%8."/>
      <w:lvlJc w:val="left"/>
      <w:pPr>
        <w:ind w:left="5760" w:hanging="360"/>
      </w:pPr>
    </w:lvl>
    <w:lvl w:ilvl="8" w:tplc="31DAE9DC">
      <w:start w:val="1"/>
      <w:numFmt w:val="lowerRoman"/>
      <w:lvlText w:val="%9."/>
      <w:lvlJc w:val="right"/>
      <w:pPr>
        <w:ind w:left="6480" w:hanging="180"/>
      </w:pPr>
    </w:lvl>
  </w:abstractNum>
  <w:abstractNum w:abstractNumId="4" w15:restartNumberingAfterBreak="0">
    <w:nsid w:val="537AF60E"/>
    <w:multiLevelType w:val="hybridMultilevel"/>
    <w:tmpl w:val="79809AAE"/>
    <w:lvl w:ilvl="0" w:tplc="AA9E0106">
      <w:start w:val="7"/>
      <w:numFmt w:val="decimal"/>
      <w:lvlText w:val="%1."/>
      <w:lvlJc w:val="left"/>
      <w:pPr>
        <w:ind w:left="720" w:hanging="360"/>
      </w:pPr>
    </w:lvl>
    <w:lvl w:ilvl="1" w:tplc="7D047B32">
      <w:start w:val="1"/>
      <w:numFmt w:val="lowerLetter"/>
      <w:lvlText w:val="%2."/>
      <w:lvlJc w:val="left"/>
      <w:pPr>
        <w:ind w:left="1440" w:hanging="360"/>
      </w:pPr>
    </w:lvl>
    <w:lvl w:ilvl="2" w:tplc="905EEB1A">
      <w:start w:val="1"/>
      <w:numFmt w:val="lowerRoman"/>
      <w:lvlText w:val="%3."/>
      <w:lvlJc w:val="right"/>
      <w:pPr>
        <w:ind w:left="2160" w:hanging="180"/>
      </w:pPr>
    </w:lvl>
    <w:lvl w:ilvl="3" w:tplc="041AA662">
      <w:start w:val="1"/>
      <w:numFmt w:val="decimal"/>
      <w:lvlText w:val="%4."/>
      <w:lvlJc w:val="left"/>
      <w:pPr>
        <w:ind w:left="2880" w:hanging="360"/>
      </w:pPr>
    </w:lvl>
    <w:lvl w:ilvl="4" w:tplc="9D2649A0">
      <w:start w:val="1"/>
      <w:numFmt w:val="lowerLetter"/>
      <w:lvlText w:val="%5."/>
      <w:lvlJc w:val="left"/>
      <w:pPr>
        <w:ind w:left="3600" w:hanging="360"/>
      </w:pPr>
    </w:lvl>
    <w:lvl w:ilvl="5" w:tplc="E1309EFA">
      <w:start w:val="1"/>
      <w:numFmt w:val="lowerRoman"/>
      <w:lvlText w:val="%6."/>
      <w:lvlJc w:val="right"/>
      <w:pPr>
        <w:ind w:left="4320" w:hanging="180"/>
      </w:pPr>
    </w:lvl>
    <w:lvl w:ilvl="6" w:tplc="6DAA8DCA">
      <w:start w:val="1"/>
      <w:numFmt w:val="decimal"/>
      <w:lvlText w:val="%7."/>
      <w:lvlJc w:val="left"/>
      <w:pPr>
        <w:ind w:left="5040" w:hanging="360"/>
      </w:pPr>
    </w:lvl>
    <w:lvl w:ilvl="7" w:tplc="E48C875E">
      <w:start w:val="1"/>
      <w:numFmt w:val="lowerLetter"/>
      <w:lvlText w:val="%8."/>
      <w:lvlJc w:val="left"/>
      <w:pPr>
        <w:ind w:left="5760" w:hanging="360"/>
      </w:pPr>
    </w:lvl>
    <w:lvl w:ilvl="8" w:tplc="AC1AD23E">
      <w:start w:val="1"/>
      <w:numFmt w:val="lowerRoman"/>
      <w:lvlText w:val="%9."/>
      <w:lvlJc w:val="right"/>
      <w:pPr>
        <w:ind w:left="6480" w:hanging="180"/>
      </w:pPr>
    </w:lvl>
  </w:abstractNum>
  <w:abstractNum w:abstractNumId="5" w15:restartNumberingAfterBreak="0">
    <w:nsid w:val="6137CB66"/>
    <w:multiLevelType w:val="hybridMultilevel"/>
    <w:tmpl w:val="37F2B706"/>
    <w:lvl w:ilvl="0" w:tplc="EBC22FFA">
      <w:start w:val="2"/>
      <w:numFmt w:val="decimal"/>
      <w:lvlText w:val="%1."/>
      <w:lvlJc w:val="left"/>
      <w:pPr>
        <w:ind w:left="720" w:hanging="360"/>
      </w:pPr>
    </w:lvl>
    <w:lvl w:ilvl="1" w:tplc="0B448D62">
      <w:start w:val="1"/>
      <w:numFmt w:val="lowerLetter"/>
      <w:lvlText w:val="%2."/>
      <w:lvlJc w:val="left"/>
      <w:pPr>
        <w:ind w:left="1440" w:hanging="360"/>
      </w:pPr>
    </w:lvl>
    <w:lvl w:ilvl="2" w:tplc="8FC03F98">
      <w:start w:val="1"/>
      <w:numFmt w:val="lowerRoman"/>
      <w:lvlText w:val="%3."/>
      <w:lvlJc w:val="right"/>
      <w:pPr>
        <w:ind w:left="2160" w:hanging="180"/>
      </w:pPr>
    </w:lvl>
    <w:lvl w:ilvl="3" w:tplc="11BE261C">
      <w:start w:val="1"/>
      <w:numFmt w:val="decimal"/>
      <w:lvlText w:val="%4."/>
      <w:lvlJc w:val="left"/>
      <w:pPr>
        <w:ind w:left="2880" w:hanging="360"/>
      </w:pPr>
    </w:lvl>
    <w:lvl w:ilvl="4" w:tplc="86FCF418">
      <w:start w:val="1"/>
      <w:numFmt w:val="lowerLetter"/>
      <w:lvlText w:val="%5."/>
      <w:lvlJc w:val="left"/>
      <w:pPr>
        <w:ind w:left="3600" w:hanging="360"/>
      </w:pPr>
    </w:lvl>
    <w:lvl w:ilvl="5" w:tplc="C9EE2BB0">
      <w:start w:val="1"/>
      <w:numFmt w:val="lowerRoman"/>
      <w:lvlText w:val="%6."/>
      <w:lvlJc w:val="right"/>
      <w:pPr>
        <w:ind w:left="4320" w:hanging="180"/>
      </w:pPr>
    </w:lvl>
    <w:lvl w:ilvl="6" w:tplc="56A0C090">
      <w:start w:val="1"/>
      <w:numFmt w:val="decimal"/>
      <w:lvlText w:val="%7."/>
      <w:lvlJc w:val="left"/>
      <w:pPr>
        <w:ind w:left="5040" w:hanging="360"/>
      </w:pPr>
    </w:lvl>
    <w:lvl w:ilvl="7" w:tplc="DD661372">
      <w:start w:val="1"/>
      <w:numFmt w:val="lowerLetter"/>
      <w:lvlText w:val="%8."/>
      <w:lvlJc w:val="left"/>
      <w:pPr>
        <w:ind w:left="5760" w:hanging="360"/>
      </w:pPr>
    </w:lvl>
    <w:lvl w:ilvl="8" w:tplc="5A8E598A">
      <w:start w:val="1"/>
      <w:numFmt w:val="lowerRoman"/>
      <w:lvlText w:val="%9."/>
      <w:lvlJc w:val="right"/>
      <w:pPr>
        <w:ind w:left="6480" w:hanging="180"/>
      </w:pPr>
    </w:lvl>
  </w:abstractNum>
  <w:abstractNum w:abstractNumId="6" w15:restartNumberingAfterBreak="0">
    <w:nsid w:val="6630308C"/>
    <w:multiLevelType w:val="hybridMultilevel"/>
    <w:tmpl w:val="8CFABC3C"/>
    <w:lvl w:ilvl="0" w:tplc="0154458A">
      <w:start w:val="8"/>
      <w:numFmt w:val="decimal"/>
      <w:lvlText w:val="%1."/>
      <w:lvlJc w:val="left"/>
      <w:pPr>
        <w:ind w:left="720" w:hanging="360"/>
      </w:pPr>
    </w:lvl>
    <w:lvl w:ilvl="1" w:tplc="456CB7AC">
      <w:start w:val="1"/>
      <w:numFmt w:val="lowerLetter"/>
      <w:lvlText w:val="%2."/>
      <w:lvlJc w:val="left"/>
      <w:pPr>
        <w:ind w:left="1440" w:hanging="360"/>
      </w:pPr>
    </w:lvl>
    <w:lvl w:ilvl="2" w:tplc="C03C5708">
      <w:start w:val="1"/>
      <w:numFmt w:val="lowerRoman"/>
      <w:lvlText w:val="%3."/>
      <w:lvlJc w:val="right"/>
      <w:pPr>
        <w:ind w:left="2160" w:hanging="180"/>
      </w:pPr>
    </w:lvl>
    <w:lvl w:ilvl="3" w:tplc="2D687D40">
      <w:start w:val="1"/>
      <w:numFmt w:val="decimal"/>
      <w:lvlText w:val="%4."/>
      <w:lvlJc w:val="left"/>
      <w:pPr>
        <w:ind w:left="2880" w:hanging="360"/>
      </w:pPr>
    </w:lvl>
    <w:lvl w:ilvl="4" w:tplc="9C0E455E">
      <w:start w:val="1"/>
      <w:numFmt w:val="lowerLetter"/>
      <w:lvlText w:val="%5."/>
      <w:lvlJc w:val="left"/>
      <w:pPr>
        <w:ind w:left="3600" w:hanging="360"/>
      </w:pPr>
    </w:lvl>
    <w:lvl w:ilvl="5" w:tplc="7EC8273C">
      <w:start w:val="1"/>
      <w:numFmt w:val="lowerRoman"/>
      <w:lvlText w:val="%6."/>
      <w:lvlJc w:val="right"/>
      <w:pPr>
        <w:ind w:left="4320" w:hanging="180"/>
      </w:pPr>
    </w:lvl>
    <w:lvl w:ilvl="6" w:tplc="98D841D6">
      <w:start w:val="1"/>
      <w:numFmt w:val="decimal"/>
      <w:lvlText w:val="%7."/>
      <w:lvlJc w:val="left"/>
      <w:pPr>
        <w:ind w:left="5040" w:hanging="360"/>
      </w:pPr>
    </w:lvl>
    <w:lvl w:ilvl="7" w:tplc="F95E3AF4">
      <w:start w:val="1"/>
      <w:numFmt w:val="lowerLetter"/>
      <w:lvlText w:val="%8."/>
      <w:lvlJc w:val="left"/>
      <w:pPr>
        <w:ind w:left="5760" w:hanging="360"/>
      </w:pPr>
    </w:lvl>
    <w:lvl w:ilvl="8" w:tplc="FA22A174">
      <w:start w:val="1"/>
      <w:numFmt w:val="lowerRoman"/>
      <w:lvlText w:val="%9."/>
      <w:lvlJc w:val="right"/>
      <w:pPr>
        <w:ind w:left="6480" w:hanging="180"/>
      </w:pPr>
    </w:lvl>
  </w:abstractNum>
  <w:abstractNum w:abstractNumId="7" w15:restartNumberingAfterBreak="0">
    <w:nsid w:val="7953C25E"/>
    <w:multiLevelType w:val="hybridMultilevel"/>
    <w:tmpl w:val="8D80E0B6"/>
    <w:lvl w:ilvl="0" w:tplc="2A509FD6">
      <w:start w:val="4"/>
      <w:numFmt w:val="decimal"/>
      <w:lvlText w:val="%1."/>
      <w:lvlJc w:val="left"/>
      <w:pPr>
        <w:ind w:left="720" w:hanging="360"/>
      </w:pPr>
    </w:lvl>
    <w:lvl w:ilvl="1" w:tplc="69263B50">
      <w:start w:val="1"/>
      <w:numFmt w:val="lowerLetter"/>
      <w:lvlText w:val="%2."/>
      <w:lvlJc w:val="left"/>
      <w:pPr>
        <w:ind w:left="1440" w:hanging="360"/>
      </w:pPr>
    </w:lvl>
    <w:lvl w:ilvl="2" w:tplc="FE8E2CF6">
      <w:start w:val="1"/>
      <w:numFmt w:val="lowerRoman"/>
      <w:lvlText w:val="%3."/>
      <w:lvlJc w:val="right"/>
      <w:pPr>
        <w:ind w:left="2160" w:hanging="180"/>
      </w:pPr>
    </w:lvl>
    <w:lvl w:ilvl="3" w:tplc="35C086E2">
      <w:start w:val="1"/>
      <w:numFmt w:val="decimal"/>
      <w:lvlText w:val="%4."/>
      <w:lvlJc w:val="left"/>
      <w:pPr>
        <w:ind w:left="2880" w:hanging="360"/>
      </w:pPr>
    </w:lvl>
    <w:lvl w:ilvl="4" w:tplc="1452DF6C">
      <w:start w:val="1"/>
      <w:numFmt w:val="lowerLetter"/>
      <w:lvlText w:val="%5."/>
      <w:lvlJc w:val="left"/>
      <w:pPr>
        <w:ind w:left="3600" w:hanging="360"/>
      </w:pPr>
    </w:lvl>
    <w:lvl w:ilvl="5" w:tplc="CC94BF2E">
      <w:start w:val="1"/>
      <w:numFmt w:val="lowerRoman"/>
      <w:lvlText w:val="%6."/>
      <w:lvlJc w:val="right"/>
      <w:pPr>
        <w:ind w:left="4320" w:hanging="180"/>
      </w:pPr>
    </w:lvl>
    <w:lvl w:ilvl="6" w:tplc="C626241E">
      <w:start w:val="1"/>
      <w:numFmt w:val="decimal"/>
      <w:lvlText w:val="%7."/>
      <w:lvlJc w:val="left"/>
      <w:pPr>
        <w:ind w:left="5040" w:hanging="360"/>
      </w:pPr>
    </w:lvl>
    <w:lvl w:ilvl="7" w:tplc="14C8838E">
      <w:start w:val="1"/>
      <w:numFmt w:val="lowerLetter"/>
      <w:lvlText w:val="%8."/>
      <w:lvlJc w:val="left"/>
      <w:pPr>
        <w:ind w:left="5760" w:hanging="360"/>
      </w:pPr>
    </w:lvl>
    <w:lvl w:ilvl="8" w:tplc="5DFAC854">
      <w:start w:val="1"/>
      <w:numFmt w:val="lowerRoman"/>
      <w:lvlText w:val="%9."/>
      <w:lvlJc w:val="right"/>
      <w:pPr>
        <w:ind w:left="6480" w:hanging="180"/>
      </w:pPr>
    </w:lvl>
  </w:abstractNum>
  <w:abstractNum w:abstractNumId="8" w15:restartNumberingAfterBreak="0">
    <w:nsid w:val="7DCD3363"/>
    <w:multiLevelType w:val="hybridMultilevel"/>
    <w:tmpl w:val="7568924A"/>
    <w:lvl w:ilvl="0" w:tplc="B9E660E0">
      <w:start w:val="5"/>
      <w:numFmt w:val="decimal"/>
      <w:lvlText w:val="%1."/>
      <w:lvlJc w:val="left"/>
      <w:pPr>
        <w:ind w:left="720" w:hanging="360"/>
      </w:pPr>
    </w:lvl>
    <w:lvl w:ilvl="1" w:tplc="D3561C16">
      <w:start w:val="1"/>
      <w:numFmt w:val="lowerLetter"/>
      <w:lvlText w:val="%2."/>
      <w:lvlJc w:val="left"/>
      <w:pPr>
        <w:ind w:left="1440" w:hanging="360"/>
      </w:pPr>
    </w:lvl>
    <w:lvl w:ilvl="2" w:tplc="BC629F46">
      <w:start w:val="1"/>
      <w:numFmt w:val="lowerRoman"/>
      <w:lvlText w:val="%3."/>
      <w:lvlJc w:val="right"/>
      <w:pPr>
        <w:ind w:left="2160" w:hanging="180"/>
      </w:pPr>
    </w:lvl>
    <w:lvl w:ilvl="3" w:tplc="E40AEE9E">
      <w:start w:val="1"/>
      <w:numFmt w:val="decimal"/>
      <w:lvlText w:val="%4."/>
      <w:lvlJc w:val="left"/>
      <w:pPr>
        <w:ind w:left="2880" w:hanging="360"/>
      </w:pPr>
    </w:lvl>
    <w:lvl w:ilvl="4" w:tplc="A1C46F20">
      <w:start w:val="1"/>
      <w:numFmt w:val="lowerLetter"/>
      <w:lvlText w:val="%5."/>
      <w:lvlJc w:val="left"/>
      <w:pPr>
        <w:ind w:left="3600" w:hanging="360"/>
      </w:pPr>
    </w:lvl>
    <w:lvl w:ilvl="5" w:tplc="80549F96">
      <w:start w:val="1"/>
      <w:numFmt w:val="lowerRoman"/>
      <w:lvlText w:val="%6."/>
      <w:lvlJc w:val="right"/>
      <w:pPr>
        <w:ind w:left="4320" w:hanging="180"/>
      </w:pPr>
    </w:lvl>
    <w:lvl w:ilvl="6" w:tplc="EDAED8EC">
      <w:start w:val="1"/>
      <w:numFmt w:val="decimal"/>
      <w:lvlText w:val="%7."/>
      <w:lvlJc w:val="left"/>
      <w:pPr>
        <w:ind w:left="5040" w:hanging="360"/>
      </w:pPr>
    </w:lvl>
    <w:lvl w:ilvl="7" w:tplc="67301F0A">
      <w:start w:val="1"/>
      <w:numFmt w:val="lowerLetter"/>
      <w:lvlText w:val="%8."/>
      <w:lvlJc w:val="left"/>
      <w:pPr>
        <w:ind w:left="5760" w:hanging="360"/>
      </w:pPr>
    </w:lvl>
    <w:lvl w:ilvl="8" w:tplc="38545D16">
      <w:start w:val="1"/>
      <w:numFmt w:val="lowerRoman"/>
      <w:lvlText w:val="%9."/>
      <w:lvlJc w:val="right"/>
      <w:pPr>
        <w:ind w:left="6480" w:hanging="180"/>
      </w:pPr>
    </w:lvl>
  </w:abstractNum>
  <w:abstractNum w:abstractNumId="9" w15:restartNumberingAfterBreak="0">
    <w:nsid w:val="7F7AB484"/>
    <w:multiLevelType w:val="hybridMultilevel"/>
    <w:tmpl w:val="516E82FC"/>
    <w:lvl w:ilvl="0" w:tplc="5F0E214E">
      <w:start w:val="6"/>
      <w:numFmt w:val="decimal"/>
      <w:lvlText w:val="%1."/>
      <w:lvlJc w:val="left"/>
      <w:pPr>
        <w:ind w:left="720" w:hanging="360"/>
      </w:pPr>
    </w:lvl>
    <w:lvl w:ilvl="1" w:tplc="F3024EC6">
      <w:start w:val="1"/>
      <w:numFmt w:val="lowerLetter"/>
      <w:lvlText w:val="%2."/>
      <w:lvlJc w:val="left"/>
      <w:pPr>
        <w:ind w:left="1440" w:hanging="360"/>
      </w:pPr>
    </w:lvl>
    <w:lvl w:ilvl="2" w:tplc="5B96069C">
      <w:start w:val="1"/>
      <w:numFmt w:val="lowerRoman"/>
      <w:lvlText w:val="%3."/>
      <w:lvlJc w:val="right"/>
      <w:pPr>
        <w:ind w:left="2160" w:hanging="180"/>
      </w:pPr>
    </w:lvl>
    <w:lvl w:ilvl="3" w:tplc="EBF003EA">
      <w:start w:val="1"/>
      <w:numFmt w:val="decimal"/>
      <w:lvlText w:val="%4."/>
      <w:lvlJc w:val="left"/>
      <w:pPr>
        <w:ind w:left="2880" w:hanging="360"/>
      </w:pPr>
    </w:lvl>
    <w:lvl w:ilvl="4" w:tplc="983478BA">
      <w:start w:val="1"/>
      <w:numFmt w:val="lowerLetter"/>
      <w:lvlText w:val="%5."/>
      <w:lvlJc w:val="left"/>
      <w:pPr>
        <w:ind w:left="3600" w:hanging="360"/>
      </w:pPr>
    </w:lvl>
    <w:lvl w:ilvl="5" w:tplc="080AA754">
      <w:start w:val="1"/>
      <w:numFmt w:val="lowerRoman"/>
      <w:lvlText w:val="%6."/>
      <w:lvlJc w:val="right"/>
      <w:pPr>
        <w:ind w:left="4320" w:hanging="180"/>
      </w:pPr>
    </w:lvl>
    <w:lvl w:ilvl="6" w:tplc="AC1ADD58">
      <w:start w:val="1"/>
      <w:numFmt w:val="decimal"/>
      <w:lvlText w:val="%7."/>
      <w:lvlJc w:val="left"/>
      <w:pPr>
        <w:ind w:left="5040" w:hanging="360"/>
      </w:pPr>
    </w:lvl>
    <w:lvl w:ilvl="7" w:tplc="1CDC9B4C">
      <w:start w:val="1"/>
      <w:numFmt w:val="lowerLetter"/>
      <w:lvlText w:val="%8."/>
      <w:lvlJc w:val="left"/>
      <w:pPr>
        <w:ind w:left="5760" w:hanging="360"/>
      </w:pPr>
    </w:lvl>
    <w:lvl w:ilvl="8" w:tplc="3DA8B356">
      <w:start w:val="1"/>
      <w:numFmt w:val="lowerRoman"/>
      <w:lvlText w:val="%9."/>
      <w:lvlJc w:val="right"/>
      <w:pPr>
        <w:ind w:left="6480" w:hanging="180"/>
      </w:pPr>
    </w:lvl>
  </w:abstractNum>
  <w:num w:numId="1">
    <w:abstractNumId w:val="0"/>
  </w:num>
  <w:num w:numId="2">
    <w:abstractNumId w:val="6"/>
  </w:num>
  <w:num w:numId="3">
    <w:abstractNumId w:val="4"/>
  </w:num>
  <w:num w:numId="4">
    <w:abstractNumId w:val="9"/>
  </w:num>
  <w:num w:numId="5">
    <w:abstractNumId w:val="8"/>
  </w:num>
  <w:num w:numId="6">
    <w:abstractNumId w:val="7"/>
  </w:num>
  <w:num w:numId="7">
    <w:abstractNumId w:val="2"/>
  </w:num>
  <w:num w:numId="8">
    <w:abstractNumId w:val="5"/>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386F927"/>
    <w:rsid w:val="005F7078"/>
    <w:rsid w:val="006E0BB5"/>
    <w:rsid w:val="00EB3FB3"/>
    <w:rsid w:val="1386F927"/>
    <w:rsid w:val="3C6E90AA"/>
    <w:rsid w:val="65DC9E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6F927"/>
  <w15:chartTrackingRefBased/>
  <w15:docId w15:val="{EB5807A6-D616-4D3D-AFA9-59C43D29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s.uk/live-well/healthy-teeth-and-gums/how-to-keep-your-teeth-clean/" TargetMode="External"/><Relationship Id="rId13" Type="http://schemas.openxmlformats.org/officeDocument/2006/relationships/hyperlink" Target="https://www.dentalhealth.org/blog/the-importance-of-regular-dental-visits" TargetMode="External"/><Relationship Id="rId3" Type="http://schemas.openxmlformats.org/officeDocument/2006/relationships/settings" Target="settings.xml"/><Relationship Id="rId7" Type="http://schemas.openxmlformats.org/officeDocument/2006/relationships/hyperlink" Target="https://my.clevelandclinic.org/health/diseases/16620-periodontitis" TargetMode="External"/><Relationship Id="rId12" Type="http://schemas.openxmlformats.org/officeDocument/2006/relationships/hyperlink" Target="https://www.colgate.com/en-us/oral-health/brushing-and-flossing/should-you-use-mouthwash-before-or-after-brush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da.org/en/resources/research/science-and-research-institute/oral-health-topics/toothbrushes" TargetMode="External"/><Relationship Id="rId11" Type="http://schemas.openxmlformats.org/officeDocument/2006/relationships/hyperlink" Target="https://www.dentalhealth.org/sugar-free-chewing-gum" TargetMode="External"/><Relationship Id="rId5" Type="http://schemas.openxmlformats.org/officeDocument/2006/relationships/hyperlink" Target="https://www.ncbi.nlm.nih.gov/books/NBK8259/" TargetMode="External"/><Relationship Id="rId15" Type="http://schemas.openxmlformats.org/officeDocument/2006/relationships/theme" Target="theme/theme1.xml"/><Relationship Id="rId10" Type="http://schemas.openxmlformats.org/officeDocument/2006/relationships/hyperlink" Target="https://www.hsph.harvard.edu/nutritionsource/oral-health/" TargetMode="External"/><Relationship Id="rId4" Type="http://schemas.openxmlformats.org/officeDocument/2006/relationships/webSettings" Target="webSettings.xml"/><Relationship Id="rId9" Type="http://schemas.openxmlformats.org/officeDocument/2006/relationships/hyperlink" Target="https://www.colgate.com/en-us/oral-health/adult-oral-care/ph-of-toothpaste-and-ename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1212</Words>
  <Characters>6915</Characters>
  <Application>Microsoft Office Word</Application>
  <DocSecurity>0</DocSecurity>
  <Lines>57</Lines>
  <Paragraphs>16</Paragraphs>
  <ScaleCrop>false</ScaleCrop>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2023-12-10T13:49:00Z</dcterms:created>
  <dcterms:modified xsi:type="dcterms:W3CDTF">2024-01-23T04:19:00Z</dcterms:modified>
</cp:coreProperties>
</file>