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FA016" w14:textId="63FED3D8" w:rsidR="002E47F1" w:rsidRPr="0063403D" w:rsidRDefault="57A574A8" w:rsidP="0063403D">
      <w:pPr>
        <w:jc w:val="center"/>
        <w:rPr>
          <w:rFonts w:ascii="Calibri" w:eastAsia="Calibri" w:hAnsi="Calibri" w:cs="Calibri"/>
          <w:b/>
          <w:bCs/>
          <w:color w:val="000000" w:themeColor="text1"/>
          <w:sz w:val="40"/>
          <w:szCs w:val="40"/>
        </w:rPr>
      </w:pPr>
      <w:r w:rsidRPr="0063403D">
        <w:rPr>
          <w:rFonts w:ascii="Calibri" w:eastAsia="Calibri" w:hAnsi="Calibri" w:cs="Calibri"/>
          <w:b/>
          <w:bCs/>
          <w:color w:val="000000" w:themeColor="text1"/>
          <w:sz w:val="40"/>
          <w:szCs w:val="40"/>
        </w:rPr>
        <w:t xml:space="preserve">The </w:t>
      </w:r>
      <w:r w:rsidR="0063403D">
        <w:rPr>
          <w:rFonts w:ascii="Calibri" w:eastAsia="Calibri" w:hAnsi="Calibri" w:cs="Calibri"/>
          <w:b/>
          <w:bCs/>
          <w:color w:val="000000" w:themeColor="text1"/>
          <w:sz w:val="40"/>
          <w:szCs w:val="40"/>
        </w:rPr>
        <w:t>I</w:t>
      </w:r>
      <w:r w:rsidRPr="0063403D">
        <w:rPr>
          <w:rFonts w:ascii="Calibri" w:eastAsia="Calibri" w:hAnsi="Calibri" w:cs="Calibri"/>
          <w:b/>
          <w:bCs/>
          <w:color w:val="000000" w:themeColor="text1"/>
          <w:sz w:val="40"/>
          <w:szCs w:val="40"/>
        </w:rPr>
        <w:t xml:space="preserve">mmune </w:t>
      </w:r>
      <w:r w:rsidR="0063403D">
        <w:rPr>
          <w:rFonts w:ascii="Calibri" w:eastAsia="Calibri" w:hAnsi="Calibri" w:cs="Calibri"/>
          <w:b/>
          <w:bCs/>
          <w:color w:val="000000" w:themeColor="text1"/>
          <w:sz w:val="40"/>
          <w:szCs w:val="40"/>
        </w:rPr>
        <w:t>S</w:t>
      </w:r>
      <w:r w:rsidRPr="0063403D">
        <w:rPr>
          <w:rFonts w:ascii="Calibri" w:eastAsia="Calibri" w:hAnsi="Calibri" w:cs="Calibri"/>
          <w:b/>
          <w:bCs/>
          <w:color w:val="000000" w:themeColor="text1"/>
          <w:sz w:val="40"/>
          <w:szCs w:val="40"/>
        </w:rPr>
        <w:t xml:space="preserve">ystem when </w:t>
      </w:r>
      <w:r w:rsidR="0063403D">
        <w:rPr>
          <w:rFonts w:ascii="Calibri" w:eastAsia="Calibri" w:hAnsi="Calibri" w:cs="Calibri"/>
          <w:b/>
          <w:bCs/>
          <w:color w:val="000000" w:themeColor="text1"/>
          <w:sz w:val="40"/>
          <w:szCs w:val="40"/>
        </w:rPr>
        <w:t>P</w:t>
      </w:r>
      <w:r w:rsidRPr="0063403D">
        <w:rPr>
          <w:rFonts w:ascii="Calibri" w:eastAsia="Calibri" w:hAnsi="Calibri" w:cs="Calibri"/>
          <w:b/>
          <w:bCs/>
          <w:color w:val="000000" w:themeColor="text1"/>
          <w:sz w:val="40"/>
          <w:szCs w:val="40"/>
        </w:rPr>
        <w:t>regnant</w:t>
      </w:r>
    </w:p>
    <w:p w14:paraId="4D6A0DE7" w14:textId="77777777" w:rsidR="0063403D" w:rsidRDefault="0063403D" w:rsidP="57A574A8">
      <w:pPr>
        <w:rPr>
          <w:rFonts w:ascii="Calibri" w:eastAsia="Calibri" w:hAnsi="Calibri" w:cs="Calibri"/>
          <w:b/>
          <w:bCs/>
          <w:color w:val="000000" w:themeColor="text1"/>
          <w:sz w:val="32"/>
          <w:szCs w:val="32"/>
        </w:rPr>
      </w:pPr>
    </w:p>
    <w:p w14:paraId="1860D7E9" w14:textId="5AD604C7" w:rsidR="002E47F1" w:rsidRDefault="57A574A8" w:rsidP="0063403D">
      <w:pPr>
        <w:jc w:val="both"/>
        <w:rPr>
          <w:rFonts w:ascii="Calibri" w:eastAsia="Calibri" w:hAnsi="Calibri" w:cs="Calibri"/>
          <w:color w:val="000000" w:themeColor="text1"/>
          <w:sz w:val="28"/>
          <w:szCs w:val="28"/>
          <w:highlight w:val="yellow"/>
        </w:rPr>
      </w:pPr>
      <w:r w:rsidRPr="57A574A8">
        <w:rPr>
          <w:rFonts w:ascii="Calibri" w:eastAsia="Calibri" w:hAnsi="Calibri" w:cs="Calibri"/>
          <w:color w:val="000000" w:themeColor="text1"/>
          <w:sz w:val="28"/>
          <w:szCs w:val="28"/>
        </w:rPr>
        <w:t xml:space="preserve">Pregnancy is a natural process where a new life develops and grows in a woman's uterus. In fact, it is necessary for the continuation of the species, and the immune system plays a key part in protecting the pregnancy to ensure it is viable and results in the birth of at least one healthy child. The immune system is a collection of cells that defend the body against harmful invaders, such as viruses, bacteria, toxins, and other pathogens. However, during pregnancy, the immune system adapts to accommodate the presence of the developing foetus (1). One of the key changes is a dampening of immune responses to prevent the mother's body from rejecting the foetus. This is a finely tuned process to ensure that the maternal immune system does not view the foetal tissue as a threat. </w:t>
      </w:r>
    </w:p>
    <w:p w14:paraId="6DE60D55" w14:textId="5DFE9488" w:rsidR="002E47F1" w:rsidRDefault="57A574A8" w:rsidP="0063403D">
      <w:pPr>
        <w:jc w:val="both"/>
        <w:rPr>
          <w:rFonts w:ascii="Calibri" w:eastAsia="Calibri" w:hAnsi="Calibri" w:cs="Calibri"/>
          <w:color w:val="000000" w:themeColor="text1"/>
          <w:sz w:val="28"/>
          <w:szCs w:val="28"/>
        </w:rPr>
      </w:pPr>
      <w:r w:rsidRPr="57A574A8">
        <w:rPr>
          <w:rFonts w:ascii="Calibri" w:eastAsia="Calibri" w:hAnsi="Calibri" w:cs="Calibri"/>
          <w:color w:val="000000" w:themeColor="text1"/>
          <w:sz w:val="28"/>
          <w:szCs w:val="28"/>
        </w:rPr>
        <w:t>The lining of the uterus, known as the endometrium, contains many immune cells, including uterine natural killer cells and macrophages. These immune cells start in the bone marrow and travel through the bloodstream to the uterus (2). In the first twenty weeks of pregnancy, uterine natural killer cells and macrophages play a vital role in providing protection against infections in the placenta. Another essential group of cells in the uterus is called decidual stromal fibroblast cells. In the early stages of pregnancy, they make up between ten and thirty percent of the cells, and by the end of pregnancy, they can make up to seventy percent of the cells in the uterine lining. These cells have specific functions that are important for the well-being of the developing pregnancy (3).</w:t>
      </w:r>
    </w:p>
    <w:p w14:paraId="2C078E63" w14:textId="09165946" w:rsidR="002E47F1" w:rsidRDefault="57A574A8" w:rsidP="0063403D">
      <w:pPr>
        <w:jc w:val="both"/>
        <w:rPr>
          <w:sz w:val="28"/>
          <w:szCs w:val="28"/>
          <w:highlight w:val="green"/>
        </w:rPr>
      </w:pPr>
      <w:r w:rsidRPr="57A574A8">
        <w:rPr>
          <w:sz w:val="28"/>
          <w:szCs w:val="28"/>
        </w:rPr>
        <w:t>These immune cells in the endometrium are not there to react to the 'foreign' foetus but to support and safeguard the pregnancy. With the immune system at the site of implantation not being weakened but doing its job and being carefully regulated (1).</w:t>
      </w:r>
    </w:p>
    <w:p w14:paraId="5B48529A" w14:textId="171ADC6F" w:rsidR="57A574A8" w:rsidRDefault="57A574A8" w:rsidP="0063403D">
      <w:pPr>
        <w:jc w:val="both"/>
        <w:rPr>
          <w:rFonts w:eastAsiaTheme="minorEastAsia"/>
          <w:sz w:val="28"/>
          <w:szCs w:val="28"/>
          <w:highlight w:val="yellow"/>
        </w:rPr>
      </w:pPr>
      <w:r w:rsidRPr="57A574A8">
        <w:rPr>
          <w:rFonts w:eastAsiaTheme="minorEastAsia"/>
          <w:sz w:val="28"/>
          <w:szCs w:val="28"/>
        </w:rPr>
        <w:t xml:space="preserve">Even though the process is not completely understood, the seminal fluid that comes with sperm seems to have something in it that gets the immune system ready for pregnancy. This fluid contains substances that promote the production of leucocytes and regulatory T cells. These regulatory T cells are like peacekeepers; they help calm down inflammation, support the production of new blood vessels </w:t>
      </w:r>
      <w:r w:rsidRPr="57A574A8">
        <w:rPr>
          <w:rFonts w:eastAsiaTheme="minorEastAsia"/>
          <w:sz w:val="28"/>
          <w:szCs w:val="28"/>
        </w:rPr>
        <w:lastRenderedPageBreak/>
        <w:t>to support the pregnancy, and encourage the mother’s body to accept the embryonic cells without causing problems (4).</w:t>
      </w:r>
    </w:p>
    <w:p w14:paraId="23A26E1B" w14:textId="7280A27D" w:rsidR="57A574A8" w:rsidRDefault="57A574A8" w:rsidP="0063403D">
      <w:pPr>
        <w:jc w:val="both"/>
        <w:rPr>
          <w:rFonts w:eastAsiaTheme="minorEastAsia"/>
          <w:sz w:val="28"/>
          <w:szCs w:val="28"/>
          <w:highlight w:val="green"/>
        </w:rPr>
      </w:pPr>
      <w:r w:rsidRPr="57A574A8">
        <w:rPr>
          <w:rFonts w:eastAsiaTheme="minorEastAsia"/>
          <w:sz w:val="28"/>
          <w:szCs w:val="28"/>
        </w:rPr>
        <w:t>Another way that the immune system supports pregnancy is due to its effect on inflammation. In the early stages of pregnancy, especially during the implantation of the embryo in the endometrium and the first few weeks of pregnancy, the body undergoes a process like healing an open wound. The umbilical cord attached to the baby has to break through the uterus lining, “invading” the tissue, and establish connections to the mother's blood vessels. This creates a sort of battlefield. To handle this, the body triggers an inflammatory response. This phase is what makes the pregnant woman feel sick, contributing to what is commonly known as “morning sickness” (1).</w:t>
      </w:r>
    </w:p>
    <w:p w14:paraId="47547147" w14:textId="264C4369" w:rsidR="57A574A8" w:rsidRDefault="57A574A8" w:rsidP="0063403D">
      <w:pPr>
        <w:jc w:val="both"/>
        <w:rPr>
          <w:rFonts w:eastAsiaTheme="minorEastAsia"/>
          <w:sz w:val="28"/>
          <w:szCs w:val="28"/>
        </w:rPr>
      </w:pPr>
      <w:r w:rsidRPr="57A574A8">
        <w:rPr>
          <w:rFonts w:eastAsiaTheme="minorEastAsia"/>
          <w:sz w:val="28"/>
          <w:szCs w:val="28"/>
        </w:rPr>
        <w:t>Luckily, during the second phase of pregnancy, the immune system shifts to an anti-inflammatory state, and nausea and sickness are reduced. This is when the baby grows rapidly, and the mother, placenta, and baby all work together harmoniously. In the final three months of the pregnancy, when the baby is fully developed and ready for delivery, the immune system ramps up inflammation again. This inflammatory response helps initiate labour by causing the uterus to contract, leading to the birth of the baby and placenta. Therefore, pregnancy involves both pro-inflammatory and anti-inflammatory phases, each serving a crucial purpose depending on the stage of pregnancy (1).</w:t>
      </w:r>
    </w:p>
    <w:p w14:paraId="3ECB61D2" w14:textId="4646092B" w:rsidR="57A574A8" w:rsidRDefault="57A574A8" w:rsidP="0063403D">
      <w:pPr>
        <w:jc w:val="both"/>
        <w:rPr>
          <w:rFonts w:eastAsiaTheme="minorEastAsia"/>
          <w:sz w:val="28"/>
          <w:szCs w:val="28"/>
          <w:highlight w:val="green"/>
        </w:rPr>
      </w:pPr>
      <w:r w:rsidRPr="57A574A8">
        <w:rPr>
          <w:rFonts w:eastAsiaTheme="minorEastAsia"/>
          <w:sz w:val="28"/>
          <w:szCs w:val="28"/>
        </w:rPr>
        <w:t xml:space="preserve">During pregnancy the immune system is protective, helping the pregnant woman stay healthy and safeguarding her growing baby. It becomes extra vigilant,  recognising and responding to potential threats. At the same time, as the developing baby's immune system develops, it interacts with and influences how the mother's immune system behaves. This explains why pregnant women may respond differently to some microbes, although it does not mean that pregnant women are more susceptible to infections. Instead, the immune system is constantly adjusting and responding depending on the type of microbe and the stage of pregnancy to create a protective environment during pregnancy (1). </w:t>
      </w:r>
    </w:p>
    <w:p w14:paraId="40871344" w14:textId="4E15FBE9" w:rsidR="57A574A8" w:rsidRDefault="57A574A8" w:rsidP="0063403D">
      <w:pPr>
        <w:jc w:val="both"/>
        <w:rPr>
          <w:rFonts w:eastAsiaTheme="minorEastAsia"/>
          <w:sz w:val="28"/>
          <w:szCs w:val="28"/>
        </w:rPr>
      </w:pPr>
      <w:r w:rsidRPr="57A574A8">
        <w:rPr>
          <w:rFonts w:eastAsiaTheme="minorEastAsia"/>
          <w:sz w:val="28"/>
          <w:szCs w:val="28"/>
        </w:rPr>
        <w:t xml:space="preserve">During pregnancy, it is advisable to take precautions to prevent exposure to other people with a virus. However, this may not always be practical, and the pregnant woman may get infected. This can potentially affect both the mother and the </w:t>
      </w:r>
      <w:r w:rsidRPr="57A574A8">
        <w:rPr>
          <w:rFonts w:eastAsiaTheme="minorEastAsia"/>
          <w:sz w:val="28"/>
          <w:szCs w:val="28"/>
        </w:rPr>
        <w:lastRenderedPageBreak/>
        <w:t xml:space="preserve">developing baby, although the response of the immune system varies depending on the virus, the stage of pregnancy, and the overall health of the mother (1). </w:t>
      </w:r>
    </w:p>
    <w:p w14:paraId="5B1F4D4C" w14:textId="7BBC53B9" w:rsidR="57A574A8" w:rsidRDefault="57A574A8" w:rsidP="0063403D">
      <w:pPr>
        <w:jc w:val="both"/>
        <w:rPr>
          <w:rFonts w:eastAsiaTheme="minorEastAsia"/>
          <w:sz w:val="28"/>
          <w:szCs w:val="28"/>
          <w:highlight w:val="green"/>
        </w:rPr>
      </w:pPr>
      <w:r w:rsidRPr="57A574A8">
        <w:rPr>
          <w:rFonts w:eastAsiaTheme="minorEastAsia"/>
          <w:sz w:val="28"/>
          <w:szCs w:val="28"/>
        </w:rPr>
        <w:t>The pregnant woman will respond to a viral infection by producing antibodies and activating immune cells to eliminate the virus. However, because, as described, pregnancy involves changes to the immune system to tolerate the presence of the developing foetus, the immune response to the virus is altered or suppressed to avoid harming the baby. Maternal antibodies can cross the placenta and provide immunity to the baby, offering some level of protection (1).</w:t>
      </w:r>
    </w:p>
    <w:p w14:paraId="496FEF57" w14:textId="7CE8C61B" w:rsidR="57A574A8" w:rsidRDefault="57A574A8" w:rsidP="0063403D">
      <w:pPr>
        <w:jc w:val="both"/>
        <w:rPr>
          <w:rFonts w:eastAsiaTheme="minorEastAsia"/>
          <w:sz w:val="28"/>
          <w:szCs w:val="28"/>
        </w:rPr>
      </w:pPr>
      <w:r w:rsidRPr="57A574A8">
        <w:rPr>
          <w:rFonts w:eastAsiaTheme="minorEastAsia"/>
          <w:sz w:val="28"/>
          <w:szCs w:val="28"/>
        </w:rPr>
        <w:t>However, the impact of a viral infection on the foetus can vary. Some viruses can directly infect the developing baby, leading to developmental issues, organ damage, or even miscarriage. Others may cause problems indirectly by triggering an inflammatory response in the mother that can affect the foetus.</w:t>
      </w:r>
    </w:p>
    <w:p w14:paraId="7F9D4534" w14:textId="379B9F15" w:rsidR="57A574A8" w:rsidRDefault="57A574A8" w:rsidP="0063403D">
      <w:pPr>
        <w:jc w:val="both"/>
        <w:rPr>
          <w:rFonts w:eastAsiaTheme="minorEastAsia"/>
          <w:sz w:val="28"/>
          <w:szCs w:val="28"/>
          <w:highlight w:val="yellow"/>
        </w:rPr>
      </w:pPr>
      <w:r w:rsidRPr="57A574A8">
        <w:rPr>
          <w:rFonts w:eastAsiaTheme="minorEastAsia"/>
          <w:sz w:val="28"/>
          <w:szCs w:val="28"/>
        </w:rPr>
        <w:t>The stage of pregnancy at which the pregnant woman is infected is significant. If it is during the first three months, when the major organs are developing and the baby's immune system is immature, this could have more severe consequences than infections contracted later in the pregnancy. As well as that, different viruses have different effects on pregnancy, with some, such as rubella (5) (also known as German measles) or cytomegalovirus, causing congenital defects, whereas influenza may be less severe. It is advisable for pregnant women infected with a virus to be regularly monitored with ultrasound scans and blood tests. In some cases, antiviral medications may be prescribed to manage the infection and reduce potential harm to the baby (1). It is also worth making sure that immunisations are up to date before conception to reduce this risk and for pregnant women to eat a balanced diet, avoid alcohol, tobacco, and drugs, and attend regular antenatal appointments (6).</w:t>
      </w:r>
    </w:p>
    <w:p w14:paraId="082472BB" w14:textId="42120273" w:rsidR="57A574A8" w:rsidRDefault="57A574A8" w:rsidP="0063403D">
      <w:pPr>
        <w:jc w:val="both"/>
        <w:rPr>
          <w:rFonts w:eastAsiaTheme="minorEastAsia"/>
          <w:sz w:val="28"/>
          <w:szCs w:val="28"/>
        </w:rPr>
      </w:pPr>
      <w:r w:rsidRPr="57A574A8">
        <w:rPr>
          <w:rFonts w:eastAsiaTheme="minorEastAsia"/>
          <w:sz w:val="28"/>
          <w:szCs w:val="28"/>
        </w:rPr>
        <w:t>During pregnancy, the immune system plays a vital role in protecting both the mother and the unborn baby. However, nature is a marve</w:t>
      </w:r>
      <w:bookmarkStart w:id="0" w:name="_GoBack"/>
      <w:bookmarkEnd w:id="0"/>
      <w:r w:rsidRPr="57A574A8">
        <w:rPr>
          <w:rFonts w:eastAsiaTheme="minorEastAsia"/>
          <w:sz w:val="28"/>
          <w:szCs w:val="28"/>
        </w:rPr>
        <w:t xml:space="preserve">llous thing, and if the mother looks after herself, does her best to avoid exposure to infections, and attends regular antenatal check-ups, she greatly increases the likelihood of giving birth to a perfectly healthy baby. </w:t>
      </w:r>
    </w:p>
    <w:p w14:paraId="47F4CEB8" w14:textId="77777777" w:rsidR="0063403D" w:rsidRDefault="0063403D" w:rsidP="0063403D">
      <w:pPr>
        <w:jc w:val="both"/>
        <w:rPr>
          <w:rFonts w:eastAsiaTheme="minorEastAsia"/>
          <w:sz w:val="28"/>
          <w:szCs w:val="28"/>
        </w:rPr>
      </w:pPr>
    </w:p>
    <w:p w14:paraId="5724F714" w14:textId="001ACB5E" w:rsidR="57A574A8" w:rsidRDefault="57A574A8" w:rsidP="57A574A8">
      <w:pPr>
        <w:rPr>
          <w:rFonts w:eastAsiaTheme="minorEastAsia"/>
          <w:b/>
          <w:bCs/>
          <w:sz w:val="28"/>
          <w:szCs w:val="28"/>
        </w:rPr>
      </w:pPr>
      <w:r w:rsidRPr="57A574A8">
        <w:rPr>
          <w:rFonts w:eastAsiaTheme="minorEastAsia"/>
          <w:b/>
          <w:bCs/>
          <w:sz w:val="28"/>
          <w:szCs w:val="28"/>
        </w:rPr>
        <w:t>References</w:t>
      </w:r>
    </w:p>
    <w:p w14:paraId="674A894F" w14:textId="1831EEF0" w:rsidR="57A574A8" w:rsidRDefault="57A574A8" w:rsidP="57A574A8">
      <w:pPr>
        <w:pStyle w:val="ListParagraph"/>
        <w:numPr>
          <w:ilvl w:val="0"/>
          <w:numId w:val="6"/>
        </w:numPr>
        <w:rPr>
          <w:rFonts w:ascii="Calibri" w:eastAsia="Calibri" w:hAnsi="Calibri" w:cs="Calibri"/>
          <w:color w:val="000000" w:themeColor="text1"/>
          <w:sz w:val="28"/>
          <w:szCs w:val="28"/>
        </w:rPr>
      </w:pPr>
      <w:r w:rsidRPr="57A574A8">
        <w:rPr>
          <w:rFonts w:ascii="Calibri" w:eastAsia="Calibri" w:hAnsi="Calibri" w:cs="Calibri"/>
          <w:color w:val="000000" w:themeColor="text1"/>
          <w:sz w:val="28"/>
          <w:szCs w:val="28"/>
        </w:rPr>
        <w:lastRenderedPageBreak/>
        <w:t xml:space="preserve">The Immune System in Pregnancy: A Unique Complexity </w:t>
      </w:r>
      <w:hyperlink r:id="rId5">
        <w:r w:rsidRPr="57A574A8">
          <w:rPr>
            <w:rStyle w:val="Hyperlink"/>
            <w:rFonts w:ascii="Calibri" w:eastAsia="Calibri" w:hAnsi="Calibri" w:cs="Calibri"/>
            <w:sz w:val="28"/>
            <w:szCs w:val="28"/>
          </w:rPr>
          <w:t>https://www.ncbi.nlm.nih.gov/pmc/articles/PMC3025805/</w:t>
        </w:r>
      </w:hyperlink>
    </w:p>
    <w:p w14:paraId="368BE889" w14:textId="493E219E" w:rsidR="57A574A8" w:rsidRDefault="57A574A8" w:rsidP="57A574A8">
      <w:pPr>
        <w:pStyle w:val="ListParagraph"/>
        <w:numPr>
          <w:ilvl w:val="0"/>
          <w:numId w:val="6"/>
        </w:numPr>
        <w:rPr>
          <w:rFonts w:ascii="Calibri" w:eastAsia="Calibri" w:hAnsi="Calibri" w:cs="Calibri"/>
          <w:color w:val="000000" w:themeColor="text1"/>
        </w:rPr>
      </w:pPr>
      <w:r w:rsidRPr="57A574A8">
        <w:rPr>
          <w:rFonts w:ascii="Calibri" w:eastAsia="Calibri" w:hAnsi="Calibri" w:cs="Calibri"/>
          <w:color w:val="000000" w:themeColor="text1"/>
          <w:sz w:val="28"/>
          <w:szCs w:val="28"/>
        </w:rPr>
        <w:t xml:space="preserve">Two Unique Human Decidual Macrophage Populations </w:t>
      </w:r>
      <w:hyperlink r:id="rId6">
        <w:r w:rsidRPr="57A574A8">
          <w:rPr>
            <w:rStyle w:val="Hyperlink"/>
            <w:rFonts w:ascii="Calibri" w:eastAsia="Calibri" w:hAnsi="Calibri" w:cs="Calibri"/>
            <w:sz w:val="28"/>
            <w:szCs w:val="28"/>
          </w:rPr>
          <w:t>https://www.ncbi.nlm.nih.gov/pmc/articles/PMC3712354/</w:t>
        </w:r>
      </w:hyperlink>
      <w:r w:rsidRPr="57A574A8">
        <w:rPr>
          <w:rFonts w:ascii="Calibri" w:eastAsia="Calibri" w:hAnsi="Calibri" w:cs="Calibri"/>
          <w:color w:val="000000" w:themeColor="text1"/>
          <w:sz w:val="28"/>
          <w:szCs w:val="28"/>
        </w:rPr>
        <w:t xml:space="preserve"> </w:t>
      </w:r>
      <w:r w:rsidRPr="57A574A8">
        <w:rPr>
          <w:rFonts w:ascii="Calibri" w:eastAsia="Calibri" w:hAnsi="Calibri" w:cs="Calibri"/>
          <w:color w:val="000000" w:themeColor="text1"/>
        </w:rPr>
        <w:t xml:space="preserve"> </w:t>
      </w:r>
    </w:p>
    <w:p w14:paraId="160EC887" w14:textId="6CC45499" w:rsidR="57A574A8" w:rsidRDefault="57A574A8" w:rsidP="57A574A8">
      <w:pPr>
        <w:pStyle w:val="ListParagraph"/>
        <w:numPr>
          <w:ilvl w:val="0"/>
          <w:numId w:val="6"/>
        </w:numPr>
        <w:rPr>
          <w:rFonts w:ascii="Calibri" w:eastAsia="Calibri" w:hAnsi="Calibri" w:cs="Calibri"/>
          <w:color w:val="000000" w:themeColor="text1"/>
        </w:rPr>
      </w:pPr>
      <w:r w:rsidRPr="57A574A8">
        <w:rPr>
          <w:rFonts w:ascii="Calibri" w:eastAsia="Calibri" w:hAnsi="Calibri" w:cs="Calibri"/>
          <w:color w:val="000000" w:themeColor="text1"/>
          <w:sz w:val="28"/>
          <w:szCs w:val="28"/>
        </w:rPr>
        <w:t xml:space="preserve">Endometrial Decidualization: The Primary Driver of Pregnancy Health </w:t>
      </w:r>
      <w:hyperlink r:id="rId7" w:anchor="B31-ijms-21-04092">
        <w:r w:rsidRPr="57A574A8">
          <w:rPr>
            <w:rStyle w:val="Hyperlink"/>
            <w:rFonts w:ascii="Calibri" w:eastAsia="Calibri" w:hAnsi="Calibri" w:cs="Calibri"/>
            <w:color w:val="000000" w:themeColor="text1"/>
            <w:sz w:val="28"/>
            <w:szCs w:val="28"/>
          </w:rPr>
          <w:t>https://www.mdpi.com/1422-0067/21/11/4092#B31-ijms-21-04092</w:t>
        </w:r>
      </w:hyperlink>
    </w:p>
    <w:p w14:paraId="0D14D154" w14:textId="639FDA4A" w:rsidR="57A574A8" w:rsidRDefault="57A574A8" w:rsidP="57A574A8">
      <w:pPr>
        <w:pStyle w:val="ListParagraph"/>
        <w:numPr>
          <w:ilvl w:val="0"/>
          <w:numId w:val="6"/>
        </w:numPr>
        <w:rPr>
          <w:rFonts w:ascii="Calibri" w:eastAsia="Calibri" w:hAnsi="Calibri" w:cs="Calibri"/>
          <w:color w:val="000000" w:themeColor="text1"/>
          <w:sz w:val="28"/>
          <w:szCs w:val="28"/>
        </w:rPr>
      </w:pPr>
      <w:r w:rsidRPr="57A574A8">
        <w:rPr>
          <w:rFonts w:ascii="Calibri" w:eastAsia="Calibri" w:hAnsi="Calibri" w:cs="Calibri"/>
          <w:color w:val="000000" w:themeColor="text1"/>
          <w:sz w:val="28"/>
          <w:szCs w:val="28"/>
        </w:rPr>
        <w:t xml:space="preserve">Seminal Fluid Regulates Accumulation of FOXP3+ Regulatory T Cells in the Preimplantation Mouse Uterus Through Expanding the FOXP3+ Cell Pool and CCL19-Mediated Recruitment1 </w:t>
      </w:r>
      <w:hyperlink r:id="rId8">
        <w:r w:rsidRPr="57A574A8">
          <w:rPr>
            <w:rStyle w:val="Hyperlink"/>
            <w:rFonts w:ascii="Calibri" w:eastAsia="Calibri" w:hAnsi="Calibri" w:cs="Calibri"/>
            <w:sz w:val="28"/>
            <w:szCs w:val="28"/>
          </w:rPr>
          <w:t>https://academic.oup.com/biolreprod/article/85/2/397/2530497</w:t>
        </w:r>
      </w:hyperlink>
    </w:p>
    <w:p w14:paraId="25C500C8" w14:textId="0C73DE10" w:rsidR="57A574A8" w:rsidRDefault="57A574A8" w:rsidP="57A574A8">
      <w:pPr>
        <w:pStyle w:val="ListParagraph"/>
        <w:numPr>
          <w:ilvl w:val="0"/>
          <w:numId w:val="6"/>
        </w:numPr>
        <w:rPr>
          <w:rFonts w:ascii="Calibri" w:eastAsia="Calibri" w:hAnsi="Calibri" w:cs="Calibri"/>
          <w:color w:val="000000" w:themeColor="text1"/>
          <w:sz w:val="28"/>
          <w:szCs w:val="28"/>
        </w:rPr>
      </w:pPr>
      <w:r w:rsidRPr="57A574A8">
        <w:rPr>
          <w:rFonts w:ascii="Calibri" w:eastAsia="Calibri" w:hAnsi="Calibri" w:cs="Calibri"/>
          <w:color w:val="000000" w:themeColor="text1"/>
          <w:sz w:val="28"/>
          <w:szCs w:val="28"/>
        </w:rPr>
        <w:t xml:space="preserve">Pregnancy and Rubella </w:t>
      </w:r>
      <w:hyperlink r:id="rId9">
        <w:r w:rsidRPr="57A574A8">
          <w:rPr>
            <w:rStyle w:val="Hyperlink"/>
            <w:rFonts w:ascii="Calibri" w:eastAsia="Calibri" w:hAnsi="Calibri" w:cs="Calibri"/>
            <w:sz w:val="28"/>
            <w:szCs w:val="28"/>
          </w:rPr>
          <w:t>https://www.cdc.gov/rubella/pregnancy.html</w:t>
        </w:r>
      </w:hyperlink>
    </w:p>
    <w:p w14:paraId="1DAE4E62" w14:textId="30ABD714" w:rsidR="57A574A8" w:rsidRDefault="57A574A8" w:rsidP="57A574A8">
      <w:pPr>
        <w:pStyle w:val="ListParagraph"/>
        <w:numPr>
          <w:ilvl w:val="0"/>
          <w:numId w:val="6"/>
        </w:numPr>
        <w:rPr>
          <w:rFonts w:ascii="Calibri" w:eastAsia="Calibri" w:hAnsi="Calibri" w:cs="Calibri"/>
          <w:color w:val="000000" w:themeColor="text1"/>
          <w:sz w:val="28"/>
          <w:szCs w:val="28"/>
        </w:rPr>
      </w:pPr>
      <w:r w:rsidRPr="57A574A8">
        <w:rPr>
          <w:rFonts w:ascii="Calibri" w:eastAsia="Calibri" w:hAnsi="Calibri" w:cs="Calibri"/>
          <w:color w:val="000000" w:themeColor="text1"/>
          <w:sz w:val="28"/>
          <w:szCs w:val="28"/>
        </w:rPr>
        <w:t xml:space="preserve">Antenatal Care </w:t>
      </w:r>
      <w:hyperlink r:id="rId10">
        <w:r w:rsidRPr="57A574A8">
          <w:rPr>
            <w:rStyle w:val="Hyperlink"/>
            <w:rFonts w:ascii="Calibri" w:eastAsia="Calibri" w:hAnsi="Calibri" w:cs="Calibri"/>
            <w:sz w:val="28"/>
            <w:szCs w:val="28"/>
          </w:rPr>
          <w:t>https://patient.info/doctor/antenatal-care</w:t>
        </w:r>
      </w:hyperlink>
    </w:p>
    <w:p w14:paraId="70E80F8B" w14:textId="2D00179C" w:rsidR="57A574A8" w:rsidRDefault="57A574A8" w:rsidP="57A574A8">
      <w:pPr>
        <w:rPr>
          <w:rFonts w:eastAsiaTheme="minorEastAsia"/>
          <w:b/>
          <w:bCs/>
          <w:sz w:val="28"/>
          <w:szCs w:val="28"/>
        </w:rPr>
      </w:pPr>
    </w:p>
    <w:sectPr w:rsidR="57A574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textHash int2:hashCode="ZOoit4eTiprLQo" int2:id="VJufkaBh">
      <int2:state int2:type="AugLoop_Text_Critique" int2:value="Rejected"/>
    </int2:textHash>
    <int2:textHash int2:hashCode="zWraum6xN07Lys" int2:id="JKFfX5bm">
      <int2:state int2:type="AugLoop_Text_Critique" int2:value="Rejected"/>
    </int2:textHash>
    <int2:textHash int2:hashCode="ohZHZRxNOaOZl6" int2:id="i1DTuSrU">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DC8F9"/>
    <w:multiLevelType w:val="hybridMultilevel"/>
    <w:tmpl w:val="8BF81AB4"/>
    <w:lvl w:ilvl="0" w:tplc="BDAAA190">
      <w:start w:val="1"/>
      <w:numFmt w:val="decimal"/>
      <w:lvlText w:val="%1."/>
      <w:lvlJc w:val="left"/>
      <w:pPr>
        <w:ind w:left="720" w:hanging="360"/>
      </w:pPr>
    </w:lvl>
    <w:lvl w:ilvl="1" w:tplc="970E9082">
      <w:start w:val="1"/>
      <w:numFmt w:val="lowerLetter"/>
      <w:lvlText w:val="%2."/>
      <w:lvlJc w:val="left"/>
      <w:pPr>
        <w:ind w:left="1440" w:hanging="360"/>
      </w:pPr>
    </w:lvl>
    <w:lvl w:ilvl="2" w:tplc="625CBB9C">
      <w:start w:val="1"/>
      <w:numFmt w:val="lowerRoman"/>
      <w:lvlText w:val="%3."/>
      <w:lvlJc w:val="right"/>
      <w:pPr>
        <w:ind w:left="2160" w:hanging="180"/>
      </w:pPr>
    </w:lvl>
    <w:lvl w:ilvl="3" w:tplc="F7A06A80">
      <w:start w:val="1"/>
      <w:numFmt w:val="decimal"/>
      <w:lvlText w:val="%4."/>
      <w:lvlJc w:val="left"/>
      <w:pPr>
        <w:ind w:left="2880" w:hanging="360"/>
      </w:pPr>
    </w:lvl>
    <w:lvl w:ilvl="4" w:tplc="38B010AE">
      <w:start w:val="1"/>
      <w:numFmt w:val="lowerLetter"/>
      <w:lvlText w:val="%5."/>
      <w:lvlJc w:val="left"/>
      <w:pPr>
        <w:ind w:left="3600" w:hanging="360"/>
      </w:pPr>
    </w:lvl>
    <w:lvl w:ilvl="5" w:tplc="56BE29F0">
      <w:start w:val="1"/>
      <w:numFmt w:val="lowerRoman"/>
      <w:lvlText w:val="%6."/>
      <w:lvlJc w:val="right"/>
      <w:pPr>
        <w:ind w:left="4320" w:hanging="180"/>
      </w:pPr>
    </w:lvl>
    <w:lvl w:ilvl="6" w:tplc="3828D874">
      <w:start w:val="1"/>
      <w:numFmt w:val="decimal"/>
      <w:lvlText w:val="%7."/>
      <w:lvlJc w:val="left"/>
      <w:pPr>
        <w:ind w:left="5040" w:hanging="360"/>
      </w:pPr>
    </w:lvl>
    <w:lvl w:ilvl="7" w:tplc="83EA45C4">
      <w:start w:val="1"/>
      <w:numFmt w:val="lowerLetter"/>
      <w:lvlText w:val="%8."/>
      <w:lvlJc w:val="left"/>
      <w:pPr>
        <w:ind w:left="5760" w:hanging="360"/>
      </w:pPr>
    </w:lvl>
    <w:lvl w:ilvl="8" w:tplc="C86A1434">
      <w:start w:val="1"/>
      <w:numFmt w:val="lowerRoman"/>
      <w:lvlText w:val="%9."/>
      <w:lvlJc w:val="right"/>
      <w:pPr>
        <w:ind w:left="6480" w:hanging="180"/>
      </w:pPr>
    </w:lvl>
  </w:abstractNum>
  <w:abstractNum w:abstractNumId="1" w15:restartNumberingAfterBreak="0">
    <w:nsid w:val="32B8BE43"/>
    <w:multiLevelType w:val="hybridMultilevel"/>
    <w:tmpl w:val="26840602"/>
    <w:lvl w:ilvl="0" w:tplc="F7788378">
      <w:start w:val="1"/>
      <w:numFmt w:val="decimal"/>
      <w:lvlText w:val="%1."/>
      <w:lvlJc w:val="left"/>
      <w:pPr>
        <w:ind w:left="720" w:hanging="360"/>
      </w:pPr>
    </w:lvl>
    <w:lvl w:ilvl="1" w:tplc="2A3CA7C6">
      <w:start w:val="1"/>
      <w:numFmt w:val="lowerLetter"/>
      <w:lvlText w:val="%2."/>
      <w:lvlJc w:val="left"/>
      <w:pPr>
        <w:ind w:left="1440" w:hanging="360"/>
      </w:pPr>
    </w:lvl>
    <w:lvl w:ilvl="2" w:tplc="E844096E">
      <w:start w:val="1"/>
      <w:numFmt w:val="lowerRoman"/>
      <w:lvlText w:val="%3."/>
      <w:lvlJc w:val="right"/>
      <w:pPr>
        <w:ind w:left="2160" w:hanging="180"/>
      </w:pPr>
    </w:lvl>
    <w:lvl w:ilvl="3" w:tplc="3C2CCB08">
      <w:start w:val="1"/>
      <w:numFmt w:val="decimal"/>
      <w:lvlText w:val="%4."/>
      <w:lvlJc w:val="left"/>
      <w:pPr>
        <w:ind w:left="2880" w:hanging="360"/>
      </w:pPr>
    </w:lvl>
    <w:lvl w:ilvl="4" w:tplc="901E7AC4">
      <w:start w:val="1"/>
      <w:numFmt w:val="lowerLetter"/>
      <w:lvlText w:val="%5."/>
      <w:lvlJc w:val="left"/>
      <w:pPr>
        <w:ind w:left="3600" w:hanging="360"/>
      </w:pPr>
    </w:lvl>
    <w:lvl w:ilvl="5" w:tplc="3BB27336">
      <w:start w:val="1"/>
      <w:numFmt w:val="lowerRoman"/>
      <w:lvlText w:val="%6."/>
      <w:lvlJc w:val="right"/>
      <w:pPr>
        <w:ind w:left="4320" w:hanging="180"/>
      </w:pPr>
    </w:lvl>
    <w:lvl w:ilvl="6" w:tplc="6DA24F9E">
      <w:start w:val="1"/>
      <w:numFmt w:val="decimal"/>
      <w:lvlText w:val="%7."/>
      <w:lvlJc w:val="left"/>
      <w:pPr>
        <w:ind w:left="5040" w:hanging="360"/>
      </w:pPr>
    </w:lvl>
    <w:lvl w:ilvl="7" w:tplc="E4342EA0">
      <w:start w:val="1"/>
      <w:numFmt w:val="lowerLetter"/>
      <w:lvlText w:val="%8."/>
      <w:lvlJc w:val="left"/>
      <w:pPr>
        <w:ind w:left="5760" w:hanging="360"/>
      </w:pPr>
    </w:lvl>
    <w:lvl w:ilvl="8" w:tplc="273699E0">
      <w:start w:val="1"/>
      <w:numFmt w:val="lowerRoman"/>
      <w:lvlText w:val="%9."/>
      <w:lvlJc w:val="right"/>
      <w:pPr>
        <w:ind w:left="6480" w:hanging="180"/>
      </w:pPr>
    </w:lvl>
  </w:abstractNum>
  <w:abstractNum w:abstractNumId="2" w15:restartNumberingAfterBreak="0">
    <w:nsid w:val="35C97FA9"/>
    <w:multiLevelType w:val="hybridMultilevel"/>
    <w:tmpl w:val="D2742BDE"/>
    <w:lvl w:ilvl="0" w:tplc="62BA017A">
      <w:start w:val="1"/>
      <w:numFmt w:val="decimal"/>
      <w:lvlText w:val="%1."/>
      <w:lvlJc w:val="left"/>
      <w:pPr>
        <w:ind w:left="720" w:hanging="360"/>
      </w:pPr>
    </w:lvl>
    <w:lvl w:ilvl="1" w:tplc="EE9EEBF2">
      <w:start w:val="1"/>
      <w:numFmt w:val="lowerLetter"/>
      <w:lvlText w:val="%2."/>
      <w:lvlJc w:val="left"/>
      <w:pPr>
        <w:ind w:left="1440" w:hanging="360"/>
      </w:pPr>
    </w:lvl>
    <w:lvl w:ilvl="2" w:tplc="3C96CA22">
      <w:start w:val="1"/>
      <w:numFmt w:val="lowerRoman"/>
      <w:lvlText w:val="%3."/>
      <w:lvlJc w:val="right"/>
      <w:pPr>
        <w:ind w:left="2160" w:hanging="180"/>
      </w:pPr>
    </w:lvl>
    <w:lvl w:ilvl="3" w:tplc="14D6B9F4">
      <w:start w:val="1"/>
      <w:numFmt w:val="decimal"/>
      <w:lvlText w:val="%4."/>
      <w:lvlJc w:val="left"/>
      <w:pPr>
        <w:ind w:left="2880" w:hanging="360"/>
      </w:pPr>
    </w:lvl>
    <w:lvl w:ilvl="4" w:tplc="794CFF04">
      <w:start w:val="1"/>
      <w:numFmt w:val="lowerLetter"/>
      <w:lvlText w:val="%5."/>
      <w:lvlJc w:val="left"/>
      <w:pPr>
        <w:ind w:left="3600" w:hanging="360"/>
      </w:pPr>
    </w:lvl>
    <w:lvl w:ilvl="5" w:tplc="F8161AB0">
      <w:start w:val="1"/>
      <w:numFmt w:val="lowerRoman"/>
      <w:lvlText w:val="%6."/>
      <w:lvlJc w:val="right"/>
      <w:pPr>
        <w:ind w:left="4320" w:hanging="180"/>
      </w:pPr>
    </w:lvl>
    <w:lvl w:ilvl="6" w:tplc="4BC8CA4C">
      <w:start w:val="1"/>
      <w:numFmt w:val="decimal"/>
      <w:lvlText w:val="%7."/>
      <w:lvlJc w:val="left"/>
      <w:pPr>
        <w:ind w:left="5040" w:hanging="360"/>
      </w:pPr>
    </w:lvl>
    <w:lvl w:ilvl="7" w:tplc="42BA475A">
      <w:start w:val="1"/>
      <w:numFmt w:val="lowerLetter"/>
      <w:lvlText w:val="%8."/>
      <w:lvlJc w:val="left"/>
      <w:pPr>
        <w:ind w:left="5760" w:hanging="360"/>
      </w:pPr>
    </w:lvl>
    <w:lvl w:ilvl="8" w:tplc="95CC24FE">
      <w:start w:val="1"/>
      <w:numFmt w:val="lowerRoman"/>
      <w:lvlText w:val="%9."/>
      <w:lvlJc w:val="right"/>
      <w:pPr>
        <w:ind w:left="6480" w:hanging="180"/>
      </w:pPr>
    </w:lvl>
  </w:abstractNum>
  <w:abstractNum w:abstractNumId="3" w15:restartNumberingAfterBreak="0">
    <w:nsid w:val="57C9EB4C"/>
    <w:multiLevelType w:val="hybridMultilevel"/>
    <w:tmpl w:val="649417F2"/>
    <w:lvl w:ilvl="0" w:tplc="F1F633DC">
      <w:start w:val="1"/>
      <w:numFmt w:val="decimal"/>
      <w:lvlText w:val="%1."/>
      <w:lvlJc w:val="left"/>
      <w:pPr>
        <w:ind w:left="720" w:hanging="360"/>
      </w:pPr>
    </w:lvl>
    <w:lvl w:ilvl="1" w:tplc="D09A42C4">
      <w:start w:val="1"/>
      <w:numFmt w:val="lowerLetter"/>
      <w:lvlText w:val="%2."/>
      <w:lvlJc w:val="left"/>
      <w:pPr>
        <w:ind w:left="1440" w:hanging="360"/>
      </w:pPr>
    </w:lvl>
    <w:lvl w:ilvl="2" w:tplc="DB86627C">
      <w:start w:val="1"/>
      <w:numFmt w:val="lowerRoman"/>
      <w:lvlText w:val="%3."/>
      <w:lvlJc w:val="right"/>
      <w:pPr>
        <w:ind w:left="2160" w:hanging="180"/>
      </w:pPr>
    </w:lvl>
    <w:lvl w:ilvl="3" w:tplc="B01E0B70">
      <w:start w:val="1"/>
      <w:numFmt w:val="decimal"/>
      <w:lvlText w:val="%4."/>
      <w:lvlJc w:val="left"/>
      <w:pPr>
        <w:ind w:left="2880" w:hanging="360"/>
      </w:pPr>
    </w:lvl>
    <w:lvl w:ilvl="4" w:tplc="30384BDE">
      <w:start w:val="1"/>
      <w:numFmt w:val="lowerLetter"/>
      <w:lvlText w:val="%5."/>
      <w:lvlJc w:val="left"/>
      <w:pPr>
        <w:ind w:left="3600" w:hanging="360"/>
      </w:pPr>
    </w:lvl>
    <w:lvl w:ilvl="5" w:tplc="E71CC502">
      <w:start w:val="1"/>
      <w:numFmt w:val="lowerRoman"/>
      <w:lvlText w:val="%6."/>
      <w:lvlJc w:val="right"/>
      <w:pPr>
        <w:ind w:left="4320" w:hanging="180"/>
      </w:pPr>
    </w:lvl>
    <w:lvl w:ilvl="6" w:tplc="812E56D6">
      <w:start w:val="1"/>
      <w:numFmt w:val="decimal"/>
      <w:lvlText w:val="%7."/>
      <w:lvlJc w:val="left"/>
      <w:pPr>
        <w:ind w:left="5040" w:hanging="360"/>
      </w:pPr>
    </w:lvl>
    <w:lvl w:ilvl="7" w:tplc="BCFA7C9A">
      <w:start w:val="1"/>
      <w:numFmt w:val="lowerLetter"/>
      <w:lvlText w:val="%8."/>
      <w:lvlJc w:val="left"/>
      <w:pPr>
        <w:ind w:left="5760" w:hanging="360"/>
      </w:pPr>
    </w:lvl>
    <w:lvl w:ilvl="8" w:tplc="A6B88BB4">
      <w:start w:val="1"/>
      <w:numFmt w:val="lowerRoman"/>
      <w:lvlText w:val="%9."/>
      <w:lvlJc w:val="right"/>
      <w:pPr>
        <w:ind w:left="6480" w:hanging="180"/>
      </w:pPr>
    </w:lvl>
  </w:abstractNum>
  <w:abstractNum w:abstractNumId="4" w15:restartNumberingAfterBreak="0">
    <w:nsid w:val="6C06812B"/>
    <w:multiLevelType w:val="hybridMultilevel"/>
    <w:tmpl w:val="AE4C374E"/>
    <w:lvl w:ilvl="0" w:tplc="197648F4">
      <w:start w:val="1"/>
      <w:numFmt w:val="decimal"/>
      <w:lvlText w:val="%1."/>
      <w:lvlJc w:val="left"/>
      <w:pPr>
        <w:ind w:left="720" w:hanging="360"/>
      </w:pPr>
    </w:lvl>
    <w:lvl w:ilvl="1" w:tplc="4C9C7130">
      <w:start w:val="1"/>
      <w:numFmt w:val="lowerLetter"/>
      <w:lvlText w:val="%2."/>
      <w:lvlJc w:val="left"/>
      <w:pPr>
        <w:ind w:left="1440" w:hanging="360"/>
      </w:pPr>
    </w:lvl>
    <w:lvl w:ilvl="2" w:tplc="A47CCD0C">
      <w:start w:val="1"/>
      <w:numFmt w:val="lowerRoman"/>
      <w:lvlText w:val="%3."/>
      <w:lvlJc w:val="right"/>
      <w:pPr>
        <w:ind w:left="2160" w:hanging="180"/>
      </w:pPr>
    </w:lvl>
    <w:lvl w:ilvl="3" w:tplc="FE6E7BAA">
      <w:start w:val="1"/>
      <w:numFmt w:val="decimal"/>
      <w:lvlText w:val="%4."/>
      <w:lvlJc w:val="left"/>
      <w:pPr>
        <w:ind w:left="2880" w:hanging="360"/>
      </w:pPr>
    </w:lvl>
    <w:lvl w:ilvl="4" w:tplc="9D86AED8">
      <w:start w:val="1"/>
      <w:numFmt w:val="lowerLetter"/>
      <w:lvlText w:val="%5."/>
      <w:lvlJc w:val="left"/>
      <w:pPr>
        <w:ind w:left="3600" w:hanging="360"/>
      </w:pPr>
    </w:lvl>
    <w:lvl w:ilvl="5" w:tplc="0C3C9472">
      <w:start w:val="1"/>
      <w:numFmt w:val="lowerRoman"/>
      <w:lvlText w:val="%6."/>
      <w:lvlJc w:val="right"/>
      <w:pPr>
        <w:ind w:left="4320" w:hanging="180"/>
      </w:pPr>
    </w:lvl>
    <w:lvl w:ilvl="6" w:tplc="4A947630">
      <w:start w:val="1"/>
      <w:numFmt w:val="decimal"/>
      <w:lvlText w:val="%7."/>
      <w:lvlJc w:val="left"/>
      <w:pPr>
        <w:ind w:left="5040" w:hanging="360"/>
      </w:pPr>
    </w:lvl>
    <w:lvl w:ilvl="7" w:tplc="9258CE5A">
      <w:start w:val="1"/>
      <w:numFmt w:val="lowerLetter"/>
      <w:lvlText w:val="%8."/>
      <w:lvlJc w:val="left"/>
      <w:pPr>
        <w:ind w:left="5760" w:hanging="360"/>
      </w:pPr>
    </w:lvl>
    <w:lvl w:ilvl="8" w:tplc="D420510C">
      <w:start w:val="1"/>
      <w:numFmt w:val="lowerRoman"/>
      <w:lvlText w:val="%9."/>
      <w:lvlJc w:val="right"/>
      <w:pPr>
        <w:ind w:left="6480" w:hanging="180"/>
      </w:pPr>
    </w:lvl>
  </w:abstractNum>
  <w:abstractNum w:abstractNumId="5" w15:restartNumberingAfterBreak="0">
    <w:nsid w:val="7B5E8A6D"/>
    <w:multiLevelType w:val="hybridMultilevel"/>
    <w:tmpl w:val="A7E21994"/>
    <w:lvl w:ilvl="0" w:tplc="B0E270AA">
      <w:start w:val="1"/>
      <w:numFmt w:val="decimal"/>
      <w:lvlText w:val="%1."/>
      <w:lvlJc w:val="left"/>
      <w:pPr>
        <w:ind w:left="720" w:hanging="360"/>
      </w:pPr>
    </w:lvl>
    <w:lvl w:ilvl="1" w:tplc="C28C1FF0">
      <w:start w:val="1"/>
      <w:numFmt w:val="lowerLetter"/>
      <w:lvlText w:val="%2."/>
      <w:lvlJc w:val="left"/>
      <w:pPr>
        <w:ind w:left="1440" w:hanging="360"/>
      </w:pPr>
    </w:lvl>
    <w:lvl w:ilvl="2" w:tplc="9376B4F8">
      <w:start w:val="1"/>
      <w:numFmt w:val="lowerRoman"/>
      <w:lvlText w:val="%3."/>
      <w:lvlJc w:val="right"/>
      <w:pPr>
        <w:ind w:left="2160" w:hanging="180"/>
      </w:pPr>
    </w:lvl>
    <w:lvl w:ilvl="3" w:tplc="03180806">
      <w:start w:val="1"/>
      <w:numFmt w:val="decimal"/>
      <w:lvlText w:val="%4."/>
      <w:lvlJc w:val="left"/>
      <w:pPr>
        <w:ind w:left="2880" w:hanging="360"/>
      </w:pPr>
    </w:lvl>
    <w:lvl w:ilvl="4" w:tplc="32B4829C">
      <w:start w:val="1"/>
      <w:numFmt w:val="lowerLetter"/>
      <w:lvlText w:val="%5."/>
      <w:lvlJc w:val="left"/>
      <w:pPr>
        <w:ind w:left="3600" w:hanging="360"/>
      </w:pPr>
    </w:lvl>
    <w:lvl w:ilvl="5" w:tplc="39C477FC">
      <w:start w:val="1"/>
      <w:numFmt w:val="lowerRoman"/>
      <w:lvlText w:val="%6."/>
      <w:lvlJc w:val="right"/>
      <w:pPr>
        <w:ind w:left="4320" w:hanging="180"/>
      </w:pPr>
    </w:lvl>
    <w:lvl w:ilvl="6" w:tplc="6B8AE850">
      <w:start w:val="1"/>
      <w:numFmt w:val="decimal"/>
      <w:lvlText w:val="%7."/>
      <w:lvlJc w:val="left"/>
      <w:pPr>
        <w:ind w:left="5040" w:hanging="360"/>
      </w:pPr>
    </w:lvl>
    <w:lvl w:ilvl="7" w:tplc="F2E25246">
      <w:start w:val="1"/>
      <w:numFmt w:val="lowerLetter"/>
      <w:lvlText w:val="%8."/>
      <w:lvlJc w:val="left"/>
      <w:pPr>
        <w:ind w:left="5760" w:hanging="360"/>
      </w:pPr>
    </w:lvl>
    <w:lvl w:ilvl="8" w:tplc="C5FA8E4E">
      <w:start w:val="1"/>
      <w:numFmt w:val="lowerRoman"/>
      <w:lvlText w:val="%9."/>
      <w:lvlJc w:val="right"/>
      <w:pPr>
        <w:ind w:left="6480" w:hanging="180"/>
      </w:p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15377A"/>
    <w:rsid w:val="002E47F1"/>
    <w:rsid w:val="0063403D"/>
    <w:rsid w:val="57A574A8"/>
    <w:rsid w:val="751537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5377A"/>
  <w15:chartTrackingRefBased/>
  <w15:docId w15:val="{393ABD37-DE18-435D-81D3-D17632D2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c.oup.com/biolreprod/article/85/2/397/2530497" TargetMode="External"/><Relationship Id="rId3" Type="http://schemas.openxmlformats.org/officeDocument/2006/relationships/settings" Target="settings.xml"/><Relationship Id="rId7" Type="http://schemas.openxmlformats.org/officeDocument/2006/relationships/hyperlink" Target="https://www.mdpi.com/1422-0067/21/11/409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pmc/articles/PMC3712354/" TargetMode="External"/><Relationship Id="rId11" Type="http://schemas.openxmlformats.org/officeDocument/2006/relationships/fontTable" Target="fontTable.xml"/><Relationship Id="R99b61d80d1f34ecb" Type="http://schemas.microsoft.com/office/2020/10/relationships/intelligence" Target="intelligence2.xml"/><Relationship Id="rId5" Type="http://schemas.openxmlformats.org/officeDocument/2006/relationships/hyperlink" Target="https://www.ncbi.nlm.nih.gov/pmc/articles/PMC3025805/" TargetMode="External"/><Relationship Id="rId10" Type="http://schemas.openxmlformats.org/officeDocument/2006/relationships/hyperlink" Target="https://patient.info/doctor/antenatal-care" TargetMode="External"/><Relationship Id="rId4" Type="http://schemas.openxmlformats.org/officeDocument/2006/relationships/webSettings" Target="webSettings.xml"/><Relationship Id="rId9" Type="http://schemas.openxmlformats.org/officeDocument/2006/relationships/hyperlink" Target="https://www.cdc.gov/rubella/pregnanc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1200</Words>
  <Characters>6845</Characters>
  <Application>Microsoft Office Word</Application>
  <DocSecurity>0</DocSecurity>
  <Lines>57</Lines>
  <Paragraphs>16</Paragraphs>
  <ScaleCrop>false</ScaleCrop>
  <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2023-11-29T19:04:00Z</dcterms:created>
  <dcterms:modified xsi:type="dcterms:W3CDTF">2023-12-08T23:42:00Z</dcterms:modified>
</cp:coreProperties>
</file>