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DAE6A" w14:textId="3C6091C8" w:rsidR="009149F6" w:rsidRDefault="016B566D" w:rsidP="00896B03">
      <w:pPr>
        <w:jc w:val="center"/>
        <w:rPr>
          <w:rFonts w:eastAsiaTheme="minorEastAsia"/>
          <w:b/>
          <w:bCs/>
          <w:sz w:val="40"/>
          <w:szCs w:val="40"/>
        </w:rPr>
      </w:pPr>
      <w:r w:rsidRPr="00896B03">
        <w:rPr>
          <w:rFonts w:eastAsiaTheme="minorEastAsia"/>
          <w:b/>
          <w:bCs/>
          <w:sz w:val="40"/>
          <w:szCs w:val="40"/>
        </w:rPr>
        <w:t xml:space="preserve">Nutrition for the </w:t>
      </w:r>
      <w:r w:rsidR="00EC7E49">
        <w:rPr>
          <w:rFonts w:eastAsiaTheme="minorEastAsia"/>
          <w:b/>
          <w:bCs/>
          <w:sz w:val="40"/>
          <w:szCs w:val="40"/>
        </w:rPr>
        <w:t>E</w:t>
      </w:r>
      <w:bookmarkStart w:id="0" w:name="_GoBack"/>
      <w:bookmarkEnd w:id="0"/>
      <w:r w:rsidRPr="00896B03">
        <w:rPr>
          <w:rFonts w:eastAsiaTheme="minorEastAsia"/>
          <w:b/>
          <w:bCs/>
          <w:sz w:val="40"/>
          <w:szCs w:val="40"/>
        </w:rPr>
        <w:t>lderly</w:t>
      </w:r>
    </w:p>
    <w:p w14:paraId="36A985B1" w14:textId="77777777" w:rsidR="00896B03" w:rsidRPr="00896B03" w:rsidRDefault="00896B03" w:rsidP="00896B03">
      <w:pPr>
        <w:jc w:val="center"/>
        <w:rPr>
          <w:rFonts w:eastAsiaTheme="minorEastAsia"/>
          <w:b/>
          <w:bCs/>
          <w:sz w:val="40"/>
          <w:szCs w:val="40"/>
        </w:rPr>
      </w:pPr>
    </w:p>
    <w:p w14:paraId="3E616077" w14:textId="77777777" w:rsidR="00896B03" w:rsidRPr="00896B03" w:rsidRDefault="00896B03" w:rsidP="00896B03">
      <w:pPr>
        <w:spacing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When we are young, and our lives are ahead of us, the idea of becoming old or dying rarely crosses our minds. We feel invincible, taking our physical health, energy, and fitness for granted. However, as we approach the age of forty, it is as if a switch is flipped, and we become acutely aware of our mortality. We begin to realise that our bodies are not as indestructible as we once thought, and the quest to look and feel younger starts.</w:t>
      </w:r>
    </w:p>
    <w:p w14:paraId="38BE88B4" w14:textId="77777777" w:rsidR="00896B03" w:rsidRPr="00896B03" w:rsidRDefault="00896B03" w:rsidP="00896B03">
      <w:pPr>
        <w:spacing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This shift in perspective often makes us look at what we eat rather than treating our body like a dustbin and expecting it to deal with it. So, what must we eat to ensure that our bodies serve us well into our allotted three score years and ten?</w:t>
      </w:r>
    </w:p>
    <w:p w14:paraId="008F2235" w14:textId="77777777" w:rsidR="00896B03" w:rsidRPr="00896B03" w:rsidRDefault="00896B03" w:rsidP="00896B03">
      <w:pPr>
        <w:spacing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The first thing that we should look at is eating a diet that will ensure we remain as fit and healthy as possible for as long as possible. One way to do that is to eat a diet rich in vegetables. Despite the phrase ‘you are what you eat,’ eating lots of vegetables helps ensure you don’t end your life in a vegetative state.</w:t>
      </w:r>
    </w:p>
    <w:p w14:paraId="0E20034E" w14:textId="77777777" w:rsidR="00896B03" w:rsidRPr="00896B03" w:rsidRDefault="00896B03" w:rsidP="00896B03">
      <w:pPr>
        <w:spacing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A study over sixteen years looked at over four hundred thousand people who swapped less than five percent of their diet from meat and eggs to vegetable protein sources. In other words, simply eat less meat and more beans and legumes. This was found to increase life expectancy and reduce the chances of death from cancer, stroke, heart disease, cardiovascular disease, respiratory disease, and infection by up to twenty percent. There was a control group in place who did not make the swaps, and other factors such as sugar intake, smoking, diabetes, overall fruit and vegetable intake, calorie intake, and family history were considered.  The participants reported fewer illnesses or mental health issues; they visited the doctor and hospital infrequently, and they said they had better overall health and vitality (1).</w:t>
      </w:r>
    </w:p>
    <w:p w14:paraId="7D2B75B7" w14:textId="77777777" w:rsidR="00896B03" w:rsidRPr="00896B03" w:rsidRDefault="00896B03" w:rsidP="00896B03">
      <w:pPr>
        <w:spacing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On a practical level, to make this small change in a modern diet, simply substitute some mince in dishes like spaghetti bolognese or chilli con carne for beans and legumes such as kidney, cannellini, black-eyed, or haricot beans; chickpeas, or lentils. Alternatively, add these vegetable protein sources to stews, casseroles, and curries. Not only will this help increase your health and lifespan, but it will also make the meat go further in these economically tight times and increase the fibre, vitamin, and mineral content.</w:t>
      </w:r>
    </w:p>
    <w:p w14:paraId="074FE389" w14:textId="77777777" w:rsidR="00896B03" w:rsidRPr="00896B03" w:rsidRDefault="00896B03" w:rsidP="00896B03">
      <w:pPr>
        <w:spacing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lastRenderedPageBreak/>
        <w:t>Making this one change in your diet as you approach your golden years is enough, but it is vital to make other changes to support this.</w:t>
      </w:r>
    </w:p>
    <w:p w14:paraId="1ED8A5CF" w14:textId="77777777" w:rsidR="00896B03" w:rsidRPr="00896B03" w:rsidRDefault="00896B03" w:rsidP="00896B03">
      <w:pPr>
        <w:spacing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If you are serious about slowing down the aging process and being as healthy as you can when you are elderly, it is worth looking at the diet of those who live in the so-called ‘blue zones.’ These areas of the world, Okinawa, Japan; Sardinia, Nicoya Peninsula, Costa Rica; and Loma Linda, California, are known for having the longest life expectancy and the largest populations of centenarians. In other words, those over one hundred (2).</w:t>
      </w:r>
    </w:p>
    <w:p w14:paraId="785DC206" w14:textId="77777777" w:rsidR="00896B03" w:rsidRPr="00896B03" w:rsidRDefault="00896B03" w:rsidP="00896B03">
      <w:pPr>
        <w:spacing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While living that long in an unhealthy body might not appeal to you, these people have reached this ripe old age and are enjoying much better health and well-being than their counterparts in other parts of the world. This is all down to their diet, nutrition, and lifestyle. Their diet is primarily plant-based and involves them eating approximately three hundred grams of vegetables every day (2). Despite recommendations by the government on how many vegetables are necessary, we eat less than half the minimum amount recommended in the Western world (3).</w:t>
      </w:r>
    </w:p>
    <w:p w14:paraId="3FE9597D" w14:textId="77777777" w:rsidR="00896B03" w:rsidRPr="00896B03" w:rsidRDefault="00896B03" w:rsidP="00896B03">
      <w:pPr>
        <w:spacing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The blue zone diet, especially in Japan, includes foods such as soy that provide phytoestrogens. These mimic estrogen in the body, and consequently, elderly Japanese women have less bone loss and reduced menopausal symptoms than women in the Western world (2). Therefore, it is beneficial for older women to eat soy products such as soy milk, tofu, miso, tempeh, and soy sauce. Edamame beans are also soy and can be added to soups, stews, stir-fries, or salads. They can also be sprouted, and then the sprouts can be added to salads or smoothies (4).</w:t>
      </w:r>
    </w:p>
    <w:p w14:paraId="761AED3E" w14:textId="77777777" w:rsidR="00896B03" w:rsidRPr="00896B03" w:rsidRDefault="00896B03" w:rsidP="00896B03">
      <w:pPr>
        <w:spacing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As well as being high in vegetables and soy foods, the blue zone diet is a low glycemic index. This means it is high in whole grains such as wheat, barley, and oats. It is also low in foods that spike blood sugar, including processed foods such as ready meals, cookies, cakes, pastries, and white bread.   These foods lack nutritional value, are high in dangerous trans fats, and are linked with inflammation, which can be a leading cause of life-limiting diseases such as cancer, cardiovascular disease, and dementia (5). Therefore, when considering nutrition for older people, it is advisable to follow the example of the blue zone populations, eat a low-glycemic diet, and cut out inflammatory processed foods.</w:t>
      </w:r>
    </w:p>
    <w:p w14:paraId="020C65C1" w14:textId="77777777" w:rsidR="00896B03" w:rsidRPr="00896B03" w:rsidRDefault="00896B03" w:rsidP="00896B03">
      <w:pPr>
        <w:spacing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 xml:space="preserve">While we are talking about life-limiting diseases, one of the scariest linked with getting older is dementia, especially Alzheimer’s disease. It affects ten percent of the elderly population over sixty-five and as many as fifty percent of eighty-five-year-olds—pretty scary stuff. While many people assume getting dementia is down </w:t>
      </w:r>
      <w:r w:rsidRPr="00896B03">
        <w:rPr>
          <w:rFonts w:ascii="Calibri" w:eastAsia="Times New Roman" w:hAnsi="Calibri" w:cs="Calibri"/>
          <w:color w:val="000000"/>
          <w:sz w:val="28"/>
          <w:szCs w:val="28"/>
          <w:lang w:eastAsia="ja-JP"/>
        </w:rPr>
        <w:lastRenderedPageBreak/>
        <w:t>to family history and genetics, it is fast being noted in the scientific literature that diet plays a massive role in the development of Alzheimer’s disease. It is now referred to as type three diabetes (6).</w:t>
      </w:r>
    </w:p>
    <w:p w14:paraId="30A844E7" w14:textId="77777777" w:rsidR="00896B03" w:rsidRPr="00896B03" w:rsidRDefault="00896B03" w:rsidP="00896B03">
      <w:pPr>
        <w:spacing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The four leading dietary causes of Alzheimer's disease are glucose or fat impairments, inflammation, and oxidation (6), all of which can be mitigated by eating a low-glycemic diet (7). This way of eating can reduce the chances of developing dementia, even if you are predisposed genetically to suffer from it (6).</w:t>
      </w:r>
    </w:p>
    <w:p w14:paraId="426816B4" w14:textId="77777777" w:rsidR="00896B03" w:rsidRPr="00896B03" w:rsidRDefault="00896B03" w:rsidP="00896B03">
      <w:pPr>
        <w:spacing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b/>
          <w:bCs/>
          <w:color w:val="000000"/>
          <w:sz w:val="28"/>
          <w:szCs w:val="28"/>
          <w:lang w:eastAsia="ja-JP"/>
        </w:rPr>
        <w:t>An example of a low-glycemic meal plan is:</w:t>
      </w:r>
    </w:p>
    <w:p w14:paraId="2E3BDE7E" w14:textId="77777777" w:rsidR="00896B03" w:rsidRPr="00896B03" w:rsidRDefault="00896B03" w:rsidP="00896B03">
      <w:pPr>
        <w:spacing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b/>
          <w:bCs/>
          <w:color w:val="000000"/>
          <w:sz w:val="28"/>
          <w:szCs w:val="28"/>
          <w:lang w:eastAsia="ja-JP"/>
        </w:rPr>
        <w:t>Breakfast:</w:t>
      </w:r>
    </w:p>
    <w:p w14:paraId="49D35F37" w14:textId="77777777" w:rsidR="00896B03" w:rsidRPr="00896B03" w:rsidRDefault="00896B03" w:rsidP="00896B03">
      <w:pPr>
        <w:spacing w:after="0" w:line="240" w:lineRule="auto"/>
        <w:ind w:left="720" w:hanging="360"/>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w:t>
      </w:r>
      <w:r w:rsidRPr="00896B03">
        <w:rPr>
          <w:rFonts w:ascii="Times New Roman" w:eastAsia="Times New Roman" w:hAnsi="Times New Roman" w:cs="Times New Roman"/>
          <w:color w:val="000000"/>
          <w:sz w:val="14"/>
          <w:szCs w:val="14"/>
          <w:lang w:eastAsia="ja-JP"/>
        </w:rPr>
        <w:t xml:space="preserve">  </w:t>
      </w:r>
      <w:r w:rsidRPr="00896B03">
        <w:rPr>
          <w:rFonts w:ascii="Times New Roman" w:eastAsia="Times New Roman" w:hAnsi="Times New Roman" w:cs="Times New Roman"/>
          <w:color w:val="000000"/>
          <w:sz w:val="14"/>
          <w:szCs w:val="14"/>
          <w:lang w:eastAsia="ja-JP"/>
        </w:rPr>
        <w:tab/>
      </w:r>
      <w:r w:rsidRPr="00896B03">
        <w:rPr>
          <w:rFonts w:ascii="Calibri" w:eastAsia="Times New Roman" w:hAnsi="Calibri" w:cs="Calibri"/>
          <w:color w:val="000000"/>
          <w:sz w:val="28"/>
          <w:szCs w:val="28"/>
          <w:lang w:eastAsia="ja-JP"/>
        </w:rPr>
        <w:t>Scrambled eggs on whole-grain toast with spinach and tomatoes and a protein yoghurt with a handful of berries.</w:t>
      </w:r>
    </w:p>
    <w:p w14:paraId="4CF899D8" w14:textId="77777777" w:rsidR="00896B03" w:rsidRPr="00896B03" w:rsidRDefault="00896B03" w:rsidP="00896B03">
      <w:pPr>
        <w:spacing w:after="0" w:line="240" w:lineRule="auto"/>
        <w:ind w:left="720" w:hanging="360"/>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w:t>
      </w:r>
      <w:r w:rsidRPr="00896B03">
        <w:rPr>
          <w:rFonts w:ascii="Times New Roman" w:eastAsia="Times New Roman" w:hAnsi="Times New Roman" w:cs="Times New Roman"/>
          <w:color w:val="000000"/>
          <w:sz w:val="14"/>
          <w:szCs w:val="14"/>
          <w:lang w:eastAsia="ja-JP"/>
        </w:rPr>
        <w:t xml:space="preserve">  </w:t>
      </w:r>
      <w:r w:rsidRPr="00896B03">
        <w:rPr>
          <w:rFonts w:ascii="Times New Roman" w:eastAsia="Times New Roman" w:hAnsi="Times New Roman" w:cs="Times New Roman"/>
          <w:color w:val="000000"/>
          <w:sz w:val="14"/>
          <w:szCs w:val="14"/>
          <w:lang w:eastAsia="ja-JP"/>
        </w:rPr>
        <w:tab/>
      </w:r>
      <w:r w:rsidRPr="00896B03">
        <w:rPr>
          <w:rFonts w:ascii="Calibri" w:eastAsia="Times New Roman" w:hAnsi="Calibri" w:cs="Calibri"/>
          <w:color w:val="000000"/>
          <w:sz w:val="28"/>
          <w:szCs w:val="28"/>
          <w:lang w:eastAsia="ja-JP"/>
        </w:rPr>
        <w:t>OR porridge made with steel-cut oats and soy or almond milk topped with fresh berries. (Alternatively, overnight oats with frozen berries and soy yoghurt.)</w:t>
      </w:r>
    </w:p>
    <w:p w14:paraId="7832DDA4" w14:textId="77777777" w:rsidR="00896B03" w:rsidRPr="00896B03" w:rsidRDefault="00896B03" w:rsidP="00896B03">
      <w:pPr>
        <w:spacing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b/>
          <w:bCs/>
          <w:color w:val="000000"/>
          <w:sz w:val="28"/>
          <w:szCs w:val="28"/>
          <w:lang w:eastAsia="ja-JP"/>
        </w:rPr>
        <w:t>Lunch:</w:t>
      </w:r>
    </w:p>
    <w:p w14:paraId="526DC52D" w14:textId="77777777" w:rsidR="00896B03" w:rsidRPr="00896B03" w:rsidRDefault="00896B03" w:rsidP="00896B03">
      <w:pPr>
        <w:spacing w:after="0" w:line="240" w:lineRule="auto"/>
        <w:ind w:left="720" w:hanging="360"/>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w:t>
      </w:r>
      <w:r w:rsidRPr="00896B03">
        <w:rPr>
          <w:rFonts w:ascii="Times New Roman" w:eastAsia="Times New Roman" w:hAnsi="Times New Roman" w:cs="Times New Roman"/>
          <w:color w:val="000000"/>
          <w:sz w:val="14"/>
          <w:szCs w:val="14"/>
          <w:lang w:eastAsia="ja-JP"/>
        </w:rPr>
        <w:t xml:space="preserve">  </w:t>
      </w:r>
      <w:r w:rsidRPr="00896B03">
        <w:rPr>
          <w:rFonts w:ascii="Times New Roman" w:eastAsia="Times New Roman" w:hAnsi="Times New Roman" w:cs="Times New Roman"/>
          <w:color w:val="000000"/>
          <w:sz w:val="14"/>
          <w:szCs w:val="14"/>
          <w:lang w:eastAsia="ja-JP"/>
        </w:rPr>
        <w:tab/>
      </w:r>
      <w:r w:rsidRPr="00896B03">
        <w:rPr>
          <w:rFonts w:ascii="Calibri" w:eastAsia="Times New Roman" w:hAnsi="Calibri" w:cs="Calibri"/>
          <w:color w:val="000000"/>
          <w:sz w:val="28"/>
          <w:szCs w:val="28"/>
          <w:lang w:eastAsia="ja-JP"/>
        </w:rPr>
        <w:t>A small grilled chicken breast salad with mixed beans, spinach, tomatoes, cucumber, radish, celery, onions, grated carrot, grated beetroot, and vinaigrette dressing, plus a serving of quinoa or barley on the side.</w:t>
      </w:r>
    </w:p>
    <w:p w14:paraId="58323F11" w14:textId="77777777" w:rsidR="00896B03" w:rsidRPr="00896B03" w:rsidRDefault="00896B03" w:rsidP="00896B03">
      <w:pPr>
        <w:spacing w:after="0" w:line="240" w:lineRule="auto"/>
        <w:ind w:left="720" w:hanging="360"/>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w:t>
      </w:r>
      <w:r w:rsidRPr="00896B03">
        <w:rPr>
          <w:rFonts w:ascii="Times New Roman" w:eastAsia="Times New Roman" w:hAnsi="Times New Roman" w:cs="Times New Roman"/>
          <w:color w:val="000000"/>
          <w:sz w:val="14"/>
          <w:szCs w:val="14"/>
          <w:lang w:eastAsia="ja-JP"/>
        </w:rPr>
        <w:t xml:space="preserve">  </w:t>
      </w:r>
      <w:r w:rsidRPr="00896B03">
        <w:rPr>
          <w:rFonts w:ascii="Times New Roman" w:eastAsia="Times New Roman" w:hAnsi="Times New Roman" w:cs="Times New Roman"/>
          <w:color w:val="000000"/>
          <w:sz w:val="14"/>
          <w:szCs w:val="14"/>
          <w:lang w:eastAsia="ja-JP"/>
        </w:rPr>
        <w:tab/>
      </w:r>
      <w:r w:rsidRPr="00896B03">
        <w:rPr>
          <w:rFonts w:ascii="Calibri" w:eastAsia="Times New Roman" w:hAnsi="Calibri" w:cs="Calibri"/>
          <w:color w:val="000000"/>
          <w:sz w:val="28"/>
          <w:szCs w:val="28"/>
          <w:lang w:eastAsia="ja-JP"/>
        </w:rPr>
        <w:t>OR lentil soup or a homemade vegetable-based soup with a side salad (mixed greens, carrots, and cucumber).</w:t>
      </w:r>
    </w:p>
    <w:p w14:paraId="1AAA4259" w14:textId="77777777" w:rsidR="00896B03" w:rsidRPr="00896B03" w:rsidRDefault="00896B03" w:rsidP="00896B03">
      <w:pPr>
        <w:spacing w:after="0"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 </w:t>
      </w:r>
    </w:p>
    <w:p w14:paraId="10C01BA3" w14:textId="77777777" w:rsidR="00896B03" w:rsidRPr="00896B03" w:rsidRDefault="00896B03" w:rsidP="00896B03">
      <w:pPr>
        <w:spacing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b/>
          <w:bCs/>
          <w:color w:val="000000"/>
          <w:sz w:val="28"/>
          <w:szCs w:val="28"/>
          <w:lang w:eastAsia="ja-JP"/>
        </w:rPr>
        <w:t>Snack:</w:t>
      </w:r>
    </w:p>
    <w:p w14:paraId="34F104BF" w14:textId="77777777" w:rsidR="00896B03" w:rsidRPr="00896B03" w:rsidRDefault="00896B03" w:rsidP="00896B03">
      <w:pPr>
        <w:spacing w:after="0" w:line="240" w:lineRule="auto"/>
        <w:ind w:left="720" w:hanging="360"/>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w:t>
      </w:r>
      <w:r w:rsidRPr="00896B03">
        <w:rPr>
          <w:rFonts w:ascii="Times New Roman" w:eastAsia="Times New Roman" w:hAnsi="Times New Roman" w:cs="Times New Roman"/>
          <w:color w:val="000000"/>
          <w:sz w:val="14"/>
          <w:szCs w:val="14"/>
          <w:lang w:eastAsia="ja-JP"/>
        </w:rPr>
        <w:t xml:space="preserve">  </w:t>
      </w:r>
      <w:r w:rsidRPr="00896B03">
        <w:rPr>
          <w:rFonts w:ascii="Times New Roman" w:eastAsia="Times New Roman" w:hAnsi="Times New Roman" w:cs="Times New Roman"/>
          <w:color w:val="000000"/>
          <w:sz w:val="14"/>
          <w:szCs w:val="14"/>
          <w:lang w:eastAsia="ja-JP"/>
        </w:rPr>
        <w:tab/>
      </w:r>
      <w:r w:rsidRPr="00896B03">
        <w:rPr>
          <w:rFonts w:ascii="Calibri" w:eastAsia="Times New Roman" w:hAnsi="Calibri" w:cs="Calibri"/>
          <w:color w:val="000000"/>
          <w:sz w:val="28"/>
          <w:szCs w:val="28"/>
          <w:lang w:eastAsia="ja-JP"/>
        </w:rPr>
        <w:t>Greek yoghurt with sliced strawberries and kiwi fruit or a small handful of almonds, walnuts, and Brazil nuts.</w:t>
      </w:r>
    </w:p>
    <w:p w14:paraId="1D4FE6A2" w14:textId="77777777" w:rsidR="00896B03" w:rsidRPr="00896B03" w:rsidRDefault="00896B03" w:rsidP="00896B03">
      <w:pPr>
        <w:spacing w:after="0" w:line="240" w:lineRule="auto"/>
        <w:ind w:left="720" w:hanging="360"/>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w:t>
      </w:r>
      <w:r w:rsidRPr="00896B03">
        <w:rPr>
          <w:rFonts w:ascii="Times New Roman" w:eastAsia="Times New Roman" w:hAnsi="Times New Roman" w:cs="Times New Roman"/>
          <w:color w:val="000000"/>
          <w:sz w:val="14"/>
          <w:szCs w:val="14"/>
          <w:lang w:eastAsia="ja-JP"/>
        </w:rPr>
        <w:t xml:space="preserve">  </w:t>
      </w:r>
      <w:r w:rsidRPr="00896B03">
        <w:rPr>
          <w:rFonts w:ascii="Times New Roman" w:eastAsia="Times New Roman" w:hAnsi="Times New Roman" w:cs="Times New Roman"/>
          <w:color w:val="000000"/>
          <w:sz w:val="14"/>
          <w:szCs w:val="14"/>
          <w:lang w:eastAsia="ja-JP"/>
        </w:rPr>
        <w:tab/>
      </w:r>
      <w:r w:rsidRPr="00896B03">
        <w:rPr>
          <w:rFonts w:ascii="Calibri" w:eastAsia="Times New Roman" w:hAnsi="Calibri" w:cs="Calibri"/>
          <w:color w:val="000000"/>
          <w:sz w:val="28"/>
          <w:szCs w:val="28"/>
          <w:lang w:eastAsia="ja-JP"/>
        </w:rPr>
        <w:t>OR cucumber, celery, and carrot sticks with hummus.</w:t>
      </w:r>
    </w:p>
    <w:p w14:paraId="1D4FA720" w14:textId="77777777" w:rsidR="00896B03" w:rsidRPr="00896B03" w:rsidRDefault="00896B03" w:rsidP="00896B03">
      <w:pPr>
        <w:spacing w:after="0"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 </w:t>
      </w:r>
    </w:p>
    <w:p w14:paraId="13CB3B0A" w14:textId="77777777" w:rsidR="00896B03" w:rsidRPr="00896B03" w:rsidRDefault="00896B03" w:rsidP="00896B03">
      <w:pPr>
        <w:spacing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b/>
          <w:bCs/>
          <w:color w:val="000000"/>
          <w:sz w:val="28"/>
          <w:szCs w:val="28"/>
          <w:lang w:eastAsia="ja-JP"/>
        </w:rPr>
        <w:t>Dinner:</w:t>
      </w:r>
    </w:p>
    <w:p w14:paraId="76A49BE3" w14:textId="77777777" w:rsidR="00896B03" w:rsidRPr="00896B03" w:rsidRDefault="00896B03" w:rsidP="00896B03">
      <w:pPr>
        <w:spacing w:after="0" w:line="240" w:lineRule="auto"/>
        <w:ind w:left="720" w:hanging="360"/>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w:t>
      </w:r>
      <w:r w:rsidRPr="00896B03">
        <w:rPr>
          <w:rFonts w:ascii="Times New Roman" w:eastAsia="Times New Roman" w:hAnsi="Times New Roman" w:cs="Times New Roman"/>
          <w:color w:val="000000"/>
          <w:sz w:val="14"/>
          <w:szCs w:val="14"/>
          <w:lang w:eastAsia="ja-JP"/>
        </w:rPr>
        <w:t xml:space="preserve">  </w:t>
      </w:r>
      <w:r w:rsidRPr="00896B03">
        <w:rPr>
          <w:rFonts w:ascii="Times New Roman" w:eastAsia="Times New Roman" w:hAnsi="Times New Roman" w:cs="Times New Roman"/>
          <w:color w:val="000000"/>
          <w:sz w:val="14"/>
          <w:szCs w:val="14"/>
          <w:lang w:eastAsia="ja-JP"/>
        </w:rPr>
        <w:tab/>
      </w:r>
      <w:r w:rsidRPr="00896B03">
        <w:rPr>
          <w:rFonts w:ascii="Calibri" w:eastAsia="Times New Roman" w:hAnsi="Calibri" w:cs="Calibri"/>
          <w:color w:val="000000"/>
          <w:sz w:val="28"/>
          <w:szCs w:val="28"/>
          <w:lang w:eastAsia="ja-JP"/>
        </w:rPr>
        <w:t>Baked salmon with roasted asparagus, steamed cauliflower, broccoli, and a small portion of brown rice.</w:t>
      </w:r>
    </w:p>
    <w:p w14:paraId="23FD4894" w14:textId="77777777" w:rsidR="00896B03" w:rsidRPr="00896B03" w:rsidRDefault="00896B03" w:rsidP="00896B03">
      <w:pPr>
        <w:spacing w:after="0" w:line="240" w:lineRule="auto"/>
        <w:ind w:left="720" w:hanging="360"/>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w:t>
      </w:r>
      <w:r w:rsidRPr="00896B03">
        <w:rPr>
          <w:rFonts w:ascii="Times New Roman" w:eastAsia="Times New Roman" w:hAnsi="Times New Roman" w:cs="Times New Roman"/>
          <w:color w:val="000000"/>
          <w:sz w:val="14"/>
          <w:szCs w:val="14"/>
          <w:lang w:eastAsia="ja-JP"/>
        </w:rPr>
        <w:t xml:space="preserve">  </w:t>
      </w:r>
      <w:r w:rsidRPr="00896B03">
        <w:rPr>
          <w:rFonts w:ascii="Times New Roman" w:eastAsia="Times New Roman" w:hAnsi="Times New Roman" w:cs="Times New Roman"/>
          <w:color w:val="000000"/>
          <w:sz w:val="14"/>
          <w:szCs w:val="14"/>
          <w:lang w:eastAsia="ja-JP"/>
        </w:rPr>
        <w:tab/>
      </w:r>
      <w:r w:rsidRPr="00896B03">
        <w:rPr>
          <w:rFonts w:ascii="Calibri" w:eastAsia="Times New Roman" w:hAnsi="Calibri" w:cs="Calibri"/>
          <w:color w:val="000000"/>
          <w:sz w:val="28"/>
          <w:szCs w:val="28"/>
          <w:lang w:eastAsia="ja-JP"/>
        </w:rPr>
        <w:t>OR grilled or baked chicken or tofu with a side of sautéed or steamed green beans, a portion of quinoa seasoned with herbs, and a little olive oil.</w:t>
      </w:r>
    </w:p>
    <w:p w14:paraId="46D62C02" w14:textId="77777777" w:rsidR="00896B03" w:rsidRPr="00896B03" w:rsidRDefault="00896B03" w:rsidP="00896B03">
      <w:pPr>
        <w:spacing w:after="0"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 </w:t>
      </w:r>
    </w:p>
    <w:p w14:paraId="21632531" w14:textId="77777777" w:rsidR="00896B03" w:rsidRPr="00896B03" w:rsidRDefault="00896B03" w:rsidP="00896B03">
      <w:pPr>
        <w:spacing w:after="0"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b/>
          <w:bCs/>
          <w:color w:val="000000"/>
          <w:sz w:val="28"/>
          <w:szCs w:val="28"/>
          <w:lang w:eastAsia="ja-JP"/>
        </w:rPr>
        <w:t>Drinks:</w:t>
      </w:r>
    </w:p>
    <w:p w14:paraId="739681D2" w14:textId="77777777" w:rsidR="00896B03" w:rsidRPr="00896B03" w:rsidRDefault="00896B03" w:rsidP="00896B03">
      <w:pPr>
        <w:spacing w:after="0"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lastRenderedPageBreak/>
        <w:t>As well as following a low glycemic index diet, it is essential that older adults are well hydrated. This is of paramount nutritional importance because they cannot conserve water, recognise when thirsty and dehydrated, or regulate their temperature.</w:t>
      </w:r>
    </w:p>
    <w:p w14:paraId="6FFF37E4" w14:textId="77777777" w:rsidR="00896B03" w:rsidRPr="00896B03" w:rsidRDefault="00896B03" w:rsidP="00896B03">
      <w:pPr>
        <w:spacing w:after="0"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 </w:t>
      </w:r>
    </w:p>
    <w:p w14:paraId="2D102788" w14:textId="77777777" w:rsidR="00896B03" w:rsidRPr="00896B03" w:rsidRDefault="00896B03" w:rsidP="00896B03">
      <w:pPr>
        <w:spacing w:after="0"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The elderly may also have medical conditions such as diabetes or kidney disease, which can affect fluid balance. Being adequately hydrated helps to manage these conditions. They may also take medications that have a diuretic effect, which can increase the risk of dehydration.</w:t>
      </w:r>
    </w:p>
    <w:p w14:paraId="5FC95011" w14:textId="77777777" w:rsidR="00896B03" w:rsidRPr="00896B03" w:rsidRDefault="00896B03" w:rsidP="00896B03">
      <w:pPr>
        <w:spacing w:after="0"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 </w:t>
      </w:r>
    </w:p>
    <w:p w14:paraId="491176D7" w14:textId="77777777" w:rsidR="00896B03" w:rsidRPr="00896B03" w:rsidRDefault="00896B03" w:rsidP="00896B03">
      <w:pPr>
        <w:spacing w:after="0"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If they become dehydrated, it can lead to urinary tract and kidney infections and constipation. It can also cause them to feel confused, disorientated, and faint, increasing the likelihood of falls, which can lead to broken bones, hospitalization, or even death (8).</w:t>
      </w:r>
    </w:p>
    <w:p w14:paraId="3E08E7B4" w14:textId="77777777" w:rsidR="00896B03" w:rsidRPr="00896B03" w:rsidRDefault="00896B03" w:rsidP="00896B03">
      <w:pPr>
        <w:spacing w:after="0"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Therefore, the elderly need to drink water, fruit, or herbal teas hourly, as well as eat fruits and vegetables with a high water content, such as cucumber, celery, melon, spinach, and watercress.</w:t>
      </w:r>
    </w:p>
    <w:p w14:paraId="76ADB6CF" w14:textId="77777777" w:rsidR="00896B03" w:rsidRPr="00896B03" w:rsidRDefault="00896B03" w:rsidP="00896B03">
      <w:pPr>
        <w:spacing w:after="0"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 </w:t>
      </w:r>
    </w:p>
    <w:p w14:paraId="014B1BEA" w14:textId="77777777" w:rsidR="00896B03" w:rsidRPr="00896B03" w:rsidRDefault="00896B03" w:rsidP="00896B03">
      <w:pPr>
        <w:spacing w:after="0" w:line="240" w:lineRule="auto"/>
        <w:jc w:val="both"/>
        <w:rPr>
          <w:rFonts w:ascii="Times New Roman" w:eastAsia="Times New Roman" w:hAnsi="Times New Roman" w:cs="Times New Roman"/>
          <w:sz w:val="24"/>
          <w:szCs w:val="24"/>
          <w:lang w:eastAsia="ja-JP"/>
        </w:rPr>
      </w:pPr>
      <w:r w:rsidRPr="00896B03">
        <w:rPr>
          <w:rFonts w:ascii="Calibri" w:eastAsia="Times New Roman" w:hAnsi="Calibri" w:cs="Calibri"/>
          <w:color w:val="000000"/>
          <w:sz w:val="28"/>
          <w:szCs w:val="28"/>
          <w:lang w:eastAsia="ja-JP"/>
        </w:rPr>
        <w:t>In conclusion, the best nutrition for older people to age well, stay healthy, and live to a ripe old age means eating a whole food diet including whole grains, fruit, plenty of vegetables, and plant-based protein. All washed down with copious glasses of water.</w:t>
      </w:r>
    </w:p>
    <w:p w14:paraId="397A8519" w14:textId="77777777" w:rsidR="00896B03" w:rsidRPr="00896B03" w:rsidRDefault="00896B03" w:rsidP="00896B03">
      <w:pPr>
        <w:spacing w:after="0" w:line="240" w:lineRule="auto"/>
        <w:rPr>
          <w:rFonts w:ascii="Times New Roman" w:eastAsia="Times New Roman" w:hAnsi="Times New Roman" w:cs="Times New Roman"/>
          <w:sz w:val="24"/>
          <w:szCs w:val="24"/>
          <w:lang w:eastAsia="ja-JP"/>
        </w:rPr>
      </w:pPr>
    </w:p>
    <w:p w14:paraId="184F2B9A" w14:textId="19BD82C3" w:rsidR="016B566D" w:rsidRDefault="016B566D" w:rsidP="016B566D">
      <w:pPr>
        <w:spacing w:after="0"/>
        <w:rPr>
          <w:rFonts w:eastAsiaTheme="minorEastAsia"/>
          <w:sz w:val="28"/>
          <w:szCs w:val="28"/>
        </w:rPr>
      </w:pPr>
    </w:p>
    <w:p w14:paraId="5BCEE64F" w14:textId="5DC60713" w:rsidR="016B566D" w:rsidRDefault="016B566D" w:rsidP="016B566D">
      <w:pPr>
        <w:spacing w:after="0"/>
        <w:rPr>
          <w:rFonts w:eastAsiaTheme="minorEastAsia"/>
          <w:b/>
          <w:bCs/>
          <w:sz w:val="28"/>
          <w:szCs w:val="28"/>
        </w:rPr>
      </w:pPr>
      <w:r w:rsidRPr="016B566D">
        <w:rPr>
          <w:rFonts w:eastAsiaTheme="minorEastAsia"/>
          <w:b/>
          <w:bCs/>
          <w:sz w:val="28"/>
          <w:szCs w:val="28"/>
        </w:rPr>
        <w:t>References</w:t>
      </w:r>
    </w:p>
    <w:p w14:paraId="1AF6F1BD" w14:textId="4C86C6DE" w:rsidR="016B566D" w:rsidRDefault="016B566D" w:rsidP="016B566D">
      <w:pPr>
        <w:pStyle w:val="ListParagraph"/>
        <w:numPr>
          <w:ilvl w:val="0"/>
          <w:numId w:val="8"/>
        </w:numPr>
        <w:rPr>
          <w:rFonts w:ascii="Calibri" w:eastAsia="Calibri" w:hAnsi="Calibri" w:cs="Calibri"/>
          <w:color w:val="000000" w:themeColor="text1"/>
          <w:sz w:val="28"/>
          <w:szCs w:val="28"/>
        </w:rPr>
      </w:pPr>
      <w:r w:rsidRPr="016B566D">
        <w:rPr>
          <w:rFonts w:ascii="Calibri" w:eastAsia="Calibri" w:hAnsi="Calibri" w:cs="Calibri"/>
          <w:color w:val="000000" w:themeColor="text1"/>
          <w:sz w:val="28"/>
          <w:szCs w:val="28"/>
        </w:rPr>
        <w:t xml:space="preserve">Association Between Plant and Animal Protein Intake and Overall and Cause-Specific Mortality </w:t>
      </w:r>
      <w:hyperlink r:id="rId5">
        <w:r w:rsidRPr="016B566D">
          <w:rPr>
            <w:rStyle w:val="Hyperlink"/>
            <w:rFonts w:ascii="Calibri" w:eastAsia="Calibri" w:hAnsi="Calibri" w:cs="Calibri"/>
            <w:sz w:val="28"/>
            <w:szCs w:val="28"/>
          </w:rPr>
          <w:t>https://www.ncbi.nlm.nih.gov/pmc/articles/PMC7358979/</w:t>
        </w:r>
      </w:hyperlink>
    </w:p>
    <w:p w14:paraId="30C6C5D5" w14:textId="7261A433" w:rsidR="016B566D" w:rsidRDefault="016B566D" w:rsidP="016B566D">
      <w:pPr>
        <w:pStyle w:val="ListParagraph"/>
        <w:numPr>
          <w:ilvl w:val="0"/>
          <w:numId w:val="8"/>
        </w:numPr>
        <w:rPr>
          <w:rFonts w:ascii="Calibri" w:eastAsia="Calibri" w:hAnsi="Calibri" w:cs="Calibri"/>
          <w:color w:val="000000" w:themeColor="text1"/>
          <w:sz w:val="28"/>
          <w:szCs w:val="28"/>
        </w:rPr>
      </w:pPr>
      <w:r w:rsidRPr="016B566D">
        <w:rPr>
          <w:rFonts w:ascii="Calibri" w:eastAsia="Calibri" w:hAnsi="Calibri" w:cs="Calibri"/>
          <w:color w:val="000000" w:themeColor="text1"/>
          <w:sz w:val="28"/>
          <w:szCs w:val="28"/>
        </w:rPr>
        <w:t xml:space="preserve">Secret of Eternal Youth; Teaching from the Centenarian Hot Spots (“Blue Zones”) </w:t>
      </w:r>
      <w:hyperlink r:id="rId6">
        <w:r w:rsidRPr="016B566D">
          <w:rPr>
            <w:rStyle w:val="Hyperlink"/>
            <w:rFonts w:ascii="Calibri" w:eastAsia="Calibri" w:hAnsi="Calibri" w:cs="Calibri"/>
            <w:sz w:val="28"/>
            <w:szCs w:val="28"/>
          </w:rPr>
          <w:t>https://www.ncbi.nlm.nih.gov/pmc/articles/PMC2822182/</w:t>
        </w:r>
      </w:hyperlink>
    </w:p>
    <w:p w14:paraId="673599B1" w14:textId="38672E7B" w:rsidR="016B566D" w:rsidRDefault="016B566D" w:rsidP="016B566D">
      <w:pPr>
        <w:pStyle w:val="ListParagraph"/>
        <w:numPr>
          <w:ilvl w:val="0"/>
          <w:numId w:val="8"/>
        </w:numPr>
        <w:rPr>
          <w:rFonts w:ascii="Calibri" w:eastAsia="Calibri" w:hAnsi="Calibri" w:cs="Calibri"/>
          <w:color w:val="000000" w:themeColor="text1"/>
          <w:sz w:val="28"/>
          <w:szCs w:val="28"/>
        </w:rPr>
      </w:pPr>
      <w:r w:rsidRPr="016B566D">
        <w:rPr>
          <w:rFonts w:ascii="Calibri" w:eastAsia="Calibri" w:hAnsi="Calibri" w:cs="Calibri"/>
          <w:color w:val="000000" w:themeColor="text1"/>
          <w:sz w:val="28"/>
          <w:szCs w:val="28"/>
        </w:rPr>
        <w:t xml:space="preserve">Americans Still Can Meet Fruit and Vegetable Dietary Guidelines for $2.10-$2.60 per Day </w:t>
      </w:r>
      <w:hyperlink r:id="rId7">
        <w:r w:rsidRPr="016B566D">
          <w:rPr>
            <w:rStyle w:val="Hyperlink"/>
            <w:rFonts w:ascii="Calibri" w:eastAsia="Calibri" w:hAnsi="Calibri" w:cs="Calibri"/>
            <w:sz w:val="28"/>
            <w:szCs w:val="28"/>
          </w:rPr>
          <w:t>https://www.ers.usda.gov/amber-waves/2019/june/americans-still-can-meet-fruit-and-vegetable-dietary-guidelines-for-210-260-per-day/</w:t>
        </w:r>
      </w:hyperlink>
    </w:p>
    <w:p w14:paraId="5B34942B" w14:textId="0B60C831" w:rsidR="016B566D" w:rsidRDefault="016B566D" w:rsidP="016B566D">
      <w:pPr>
        <w:pStyle w:val="ListParagraph"/>
        <w:numPr>
          <w:ilvl w:val="0"/>
          <w:numId w:val="8"/>
        </w:numPr>
        <w:rPr>
          <w:rFonts w:ascii="Calibri" w:eastAsia="Calibri" w:hAnsi="Calibri" w:cs="Calibri"/>
          <w:color w:val="000000" w:themeColor="text1"/>
          <w:sz w:val="28"/>
          <w:szCs w:val="28"/>
        </w:rPr>
      </w:pPr>
      <w:r w:rsidRPr="016B566D">
        <w:rPr>
          <w:rFonts w:ascii="Calibri" w:eastAsia="Calibri" w:hAnsi="Calibri" w:cs="Calibri"/>
          <w:color w:val="000000" w:themeColor="text1"/>
          <w:sz w:val="28"/>
          <w:szCs w:val="28"/>
        </w:rPr>
        <w:t xml:space="preserve">Soybeans and soy foods </w:t>
      </w:r>
      <w:hyperlink r:id="rId8">
        <w:r w:rsidRPr="016B566D">
          <w:rPr>
            <w:rStyle w:val="Hyperlink"/>
            <w:rFonts w:ascii="Calibri" w:eastAsia="Calibri" w:hAnsi="Calibri" w:cs="Calibri"/>
            <w:sz w:val="28"/>
            <w:szCs w:val="28"/>
          </w:rPr>
          <w:t>https://www.betterhealth.vic.gov.au/health/healthyliving/soybeans</w:t>
        </w:r>
      </w:hyperlink>
    </w:p>
    <w:p w14:paraId="104D22B2" w14:textId="49294BE2" w:rsidR="016B566D" w:rsidRDefault="016B566D" w:rsidP="016B566D">
      <w:pPr>
        <w:pStyle w:val="ListParagraph"/>
        <w:numPr>
          <w:ilvl w:val="0"/>
          <w:numId w:val="8"/>
        </w:numPr>
        <w:rPr>
          <w:rFonts w:ascii="Calibri" w:eastAsia="Calibri" w:hAnsi="Calibri" w:cs="Calibri"/>
          <w:color w:val="000000" w:themeColor="text1"/>
          <w:sz w:val="28"/>
          <w:szCs w:val="28"/>
        </w:rPr>
      </w:pPr>
      <w:r w:rsidRPr="016B566D">
        <w:rPr>
          <w:rFonts w:ascii="Calibri" w:eastAsia="Calibri" w:hAnsi="Calibri" w:cs="Calibri"/>
          <w:color w:val="000000" w:themeColor="text1"/>
          <w:sz w:val="28"/>
          <w:szCs w:val="28"/>
        </w:rPr>
        <w:lastRenderedPageBreak/>
        <w:t xml:space="preserve">The Many Health Risks of Processed Foods </w:t>
      </w:r>
      <w:hyperlink r:id="rId9">
        <w:r w:rsidRPr="016B566D">
          <w:rPr>
            <w:rStyle w:val="Hyperlink"/>
            <w:rFonts w:ascii="Calibri" w:eastAsia="Calibri" w:hAnsi="Calibri" w:cs="Calibri"/>
            <w:sz w:val="28"/>
            <w:szCs w:val="28"/>
          </w:rPr>
          <w:t>https://www.lhsfna.org/the-many-health-risks-of-processed-foods/</w:t>
        </w:r>
      </w:hyperlink>
    </w:p>
    <w:p w14:paraId="32A68F80" w14:textId="1B557857" w:rsidR="016B566D" w:rsidRDefault="016B566D" w:rsidP="016B566D">
      <w:pPr>
        <w:pStyle w:val="ListParagraph"/>
        <w:numPr>
          <w:ilvl w:val="0"/>
          <w:numId w:val="8"/>
        </w:numPr>
        <w:rPr>
          <w:rFonts w:ascii="Calibri" w:eastAsia="Calibri" w:hAnsi="Calibri" w:cs="Calibri"/>
          <w:color w:val="000000" w:themeColor="text1"/>
          <w:sz w:val="28"/>
          <w:szCs w:val="28"/>
        </w:rPr>
      </w:pPr>
      <w:r w:rsidRPr="016B566D">
        <w:rPr>
          <w:rFonts w:ascii="Calibri" w:eastAsia="Calibri" w:hAnsi="Calibri" w:cs="Calibri"/>
          <w:color w:val="000000" w:themeColor="text1"/>
          <w:sz w:val="28"/>
          <w:szCs w:val="28"/>
        </w:rPr>
        <w:t xml:space="preserve">Preventing Alzheimer’s: Our Most Urgent Health Care Priority </w:t>
      </w:r>
      <w:hyperlink r:id="rId10">
        <w:r w:rsidRPr="016B566D">
          <w:rPr>
            <w:rStyle w:val="Hyperlink"/>
            <w:rFonts w:ascii="Calibri" w:eastAsia="Calibri" w:hAnsi="Calibri" w:cs="Calibri"/>
            <w:sz w:val="28"/>
            <w:szCs w:val="28"/>
          </w:rPr>
          <w:t>https://www.ncbi.nlm.nih.gov/pmc/articles/PMC6732875/</w:t>
        </w:r>
      </w:hyperlink>
    </w:p>
    <w:p w14:paraId="70DC9D11" w14:textId="26AF437A" w:rsidR="016B566D" w:rsidRDefault="016B566D" w:rsidP="016B566D">
      <w:pPr>
        <w:pStyle w:val="ListParagraph"/>
        <w:numPr>
          <w:ilvl w:val="0"/>
          <w:numId w:val="8"/>
        </w:numPr>
        <w:rPr>
          <w:rFonts w:ascii="Calibri" w:eastAsia="Calibri" w:hAnsi="Calibri" w:cs="Calibri"/>
          <w:color w:val="000000" w:themeColor="text1"/>
          <w:sz w:val="28"/>
          <w:szCs w:val="28"/>
        </w:rPr>
      </w:pPr>
      <w:r w:rsidRPr="016B566D">
        <w:rPr>
          <w:rFonts w:ascii="Calibri" w:eastAsia="Calibri" w:hAnsi="Calibri" w:cs="Calibri"/>
          <w:color w:val="000000" w:themeColor="text1"/>
          <w:sz w:val="28"/>
          <w:szCs w:val="28"/>
        </w:rPr>
        <w:t xml:space="preserve">Metabolic effects of low glycaemic index diets </w:t>
      </w:r>
      <w:hyperlink r:id="rId11">
        <w:r w:rsidRPr="016B566D">
          <w:rPr>
            <w:rStyle w:val="Hyperlink"/>
            <w:rFonts w:ascii="Calibri" w:eastAsia="Calibri" w:hAnsi="Calibri" w:cs="Calibri"/>
            <w:sz w:val="28"/>
            <w:szCs w:val="28"/>
          </w:rPr>
          <w:t>https://www.ncbi.nlm.nih.gov/pmc/articles/PMC2654909/</w:t>
        </w:r>
      </w:hyperlink>
    </w:p>
    <w:p w14:paraId="019DF848" w14:textId="6E466278" w:rsidR="016B566D" w:rsidRDefault="016B566D" w:rsidP="016B566D">
      <w:pPr>
        <w:pStyle w:val="ListParagraph"/>
        <w:numPr>
          <w:ilvl w:val="0"/>
          <w:numId w:val="8"/>
        </w:numPr>
        <w:rPr>
          <w:rFonts w:ascii="Calibri" w:eastAsia="Calibri" w:hAnsi="Calibri" w:cs="Calibri"/>
          <w:color w:val="000000" w:themeColor="text1"/>
          <w:sz w:val="28"/>
          <w:szCs w:val="28"/>
        </w:rPr>
      </w:pPr>
      <w:r w:rsidRPr="016B566D">
        <w:rPr>
          <w:rFonts w:ascii="Calibri" w:eastAsia="Calibri" w:hAnsi="Calibri" w:cs="Calibri"/>
          <w:color w:val="000000" w:themeColor="text1"/>
          <w:sz w:val="28"/>
          <w:szCs w:val="28"/>
        </w:rPr>
        <w:t xml:space="preserve">The Importance Of Keeping Hydrated For The Elderly </w:t>
      </w:r>
      <w:hyperlink r:id="rId12">
        <w:r w:rsidRPr="016B566D">
          <w:rPr>
            <w:rStyle w:val="Hyperlink"/>
            <w:rFonts w:ascii="Calibri" w:eastAsia="Calibri" w:hAnsi="Calibri" w:cs="Calibri"/>
            <w:sz w:val="28"/>
            <w:szCs w:val="28"/>
          </w:rPr>
          <w:t>https://www.ageuk.org.uk/bp-assets/globalassets/coventry--warwickshire/original-blocks/our-services/dementia-day-ops-support-for-carers/dehydration.pdf</w:t>
        </w:r>
      </w:hyperlink>
      <w:r w:rsidRPr="016B566D">
        <w:rPr>
          <w:rFonts w:ascii="Calibri" w:eastAsia="Calibri" w:hAnsi="Calibri" w:cs="Calibri"/>
          <w:color w:val="000000" w:themeColor="text1"/>
          <w:sz w:val="28"/>
          <w:szCs w:val="28"/>
        </w:rPr>
        <w:t xml:space="preserve">  </w:t>
      </w:r>
    </w:p>
    <w:p w14:paraId="1D156189" w14:textId="22982E3E" w:rsidR="016B566D" w:rsidRDefault="016B566D" w:rsidP="016B566D">
      <w:pPr>
        <w:spacing w:after="0"/>
        <w:rPr>
          <w:rFonts w:ascii="system-ui" w:eastAsia="system-ui" w:hAnsi="system-ui" w:cs="system-ui"/>
          <w:color w:val="374151"/>
          <w:sz w:val="24"/>
          <w:szCs w:val="24"/>
        </w:rPr>
      </w:pPr>
      <w:r w:rsidRPr="016B566D">
        <w:rPr>
          <w:rFonts w:ascii="system-ui" w:eastAsia="system-ui" w:hAnsi="system-ui" w:cs="system-ui"/>
          <w:color w:val="374151"/>
          <w:sz w:val="24"/>
          <w:szCs w:val="24"/>
        </w:rPr>
        <w:t xml:space="preserve"> </w:t>
      </w:r>
    </w:p>
    <w:sectPr w:rsidR="016B566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stem-ui">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D2B72"/>
    <w:multiLevelType w:val="hybridMultilevel"/>
    <w:tmpl w:val="3FD2D7AA"/>
    <w:lvl w:ilvl="0" w:tplc="4D2A957E">
      <w:start w:val="1"/>
      <w:numFmt w:val="bullet"/>
      <w:lvlText w:val=""/>
      <w:lvlJc w:val="left"/>
      <w:pPr>
        <w:ind w:left="720" w:hanging="360"/>
      </w:pPr>
      <w:rPr>
        <w:rFonts w:ascii="Symbol" w:hAnsi="Symbol" w:hint="default"/>
      </w:rPr>
    </w:lvl>
    <w:lvl w:ilvl="1" w:tplc="7292EF14">
      <w:start w:val="1"/>
      <w:numFmt w:val="bullet"/>
      <w:lvlText w:val="o"/>
      <w:lvlJc w:val="left"/>
      <w:pPr>
        <w:ind w:left="1440" w:hanging="360"/>
      </w:pPr>
      <w:rPr>
        <w:rFonts w:ascii="Courier New" w:hAnsi="Courier New" w:hint="default"/>
      </w:rPr>
    </w:lvl>
    <w:lvl w:ilvl="2" w:tplc="91A05598">
      <w:start w:val="1"/>
      <w:numFmt w:val="bullet"/>
      <w:lvlText w:val=""/>
      <w:lvlJc w:val="left"/>
      <w:pPr>
        <w:ind w:left="2160" w:hanging="360"/>
      </w:pPr>
      <w:rPr>
        <w:rFonts w:ascii="Wingdings" w:hAnsi="Wingdings" w:hint="default"/>
      </w:rPr>
    </w:lvl>
    <w:lvl w:ilvl="3" w:tplc="1944BF14">
      <w:start w:val="1"/>
      <w:numFmt w:val="bullet"/>
      <w:lvlText w:val=""/>
      <w:lvlJc w:val="left"/>
      <w:pPr>
        <w:ind w:left="2880" w:hanging="360"/>
      </w:pPr>
      <w:rPr>
        <w:rFonts w:ascii="Symbol" w:hAnsi="Symbol" w:hint="default"/>
      </w:rPr>
    </w:lvl>
    <w:lvl w:ilvl="4" w:tplc="EBF8070A">
      <w:start w:val="1"/>
      <w:numFmt w:val="bullet"/>
      <w:lvlText w:val="o"/>
      <w:lvlJc w:val="left"/>
      <w:pPr>
        <w:ind w:left="3600" w:hanging="360"/>
      </w:pPr>
      <w:rPr>
        <w:rFonts w:ascii="Courier New" w:hAnsi="Courier New" w:hint="default"/>
      </w:rPr>
    </w:lvl>
    <w:lvl w:ilvl="5" w:tplc="66C4F05E">
      <w:start w:val="1"/>
      <w:numFmt w:val="bullet"/>
      <w:lvlText w:val=""/>
      <w:lvlJc w:val="left"/>
      <w:pPr>
        <w:ind w:left="4320" w:hanging="360"/>
      </w:pPr>
      <w:rPr>
        <w:rFonts w:ascii="Wingdings" w:hAnsi="Wingdings" w:hint="default"/>
      </w:rPr>
    </w:lvl>
    <w:lvl w:ilvl="6" w:tplc="01485F5C">
      <w:start w:val="1"/>
      <w:numFmt w:val="bullet"/>
      <w:lvlText w:val=""/>
      <w:lvlJc w:val="left"/>
      <w:pPr>
        <w:ind w:left="5040" w:hanging="360"/>
      </w:pPr>
      <w:rPr>
        <w:rFonts w:ascii="Symbol" w:hAnsi="Symbol" w:hint="default"/>
      </w:rPr>
    </w:lvl>
    <w:lvl w:ilvl="7" w:tplc="D46AA12A">
      <w:start w:val="1"/>
      <w:numFmt w:val="bullet"/>
      <w:lvlText w:val="o"/>
      <w:lvlJc w:val="left"/>
      <w:pPr>
        <w:ind w:left="5760" w:hanging="360"/>
      </w:pPr>
      <w:rPr>
        <w:rFonts w:ascii="Courier New" w:hAnsi="Courier New" w:hint="default"/>
      </w:rPr>
    </w:lvl>
    <w:lvl w:ilvl="8" w:tplc="319A5534">
      <w:start w:val="1"/>
      <w:numFmt w:val="bullet"/>
      <w:lvlText w:val=""/>
      <w:lvlJc w:val="left"/>
      <w:pPr>
        <w:ind w:left="6480" w:hanging="360"/>
      </w:pPr>
      <w:rPr>
        <w:rFonts w:ascii="Wingdings" w:hAnsi="Wingdings" w:hint="default"/>
      </w:rPr>
    </w:lvl>
  </w:abstractNum>
  <w:abstractNum w:abstractNumId="1" w15:restartNumberingAfterBreak="0">
    <w:nsid w:val="185DCF74"/>
    <w:multiLevelType w:val="hybridMultilevel"/>
    <w:tmpl w:val="1C425DE2"/>
    <w:lvl w:ilvl="0" w:tplc="1D14CD2E">
      <w:start w:val="7"/>
      <w:numFmt w:val="decimal"/>
      <w:lvlText w:val="%1."/>
      <w:lvlJc w:val="left"/>
      <w:pPr>
        <w:ind w:left="720" w:hanging="360"/>
      </w:pPr>
    </w:lvl>
    <w:lvl w:ilvl="1" w:tplc="1D468238">
      <w:start w:val="1"/>
      <w:numFmt w:val="lowerLetter"/>
      <w:lvlText w:val="%2."/>
      <w:lvlJc w:val="left"/>
      <w:pPr>
        <w:ind w:left="1440" w:hanging="360"/>
      </w:pPr>
    </w:lvl>
    <w:lvl w:ilvl="2" w:tplc="2D40421E">
      <w:start w:val="1"/>
      <w:numFmt w:val="lowerRoman"/>
      <w:lvlText w:val="%3."/>
      <w:lvlJc w:val="right"/>
      <w:pPr>
        <w:ind w:left="2160" w:hanging="180"/>
      </w:pPr>
    </w:lvl>
    <w:lvl w:ilvl="3" w:tplc="C9CE75CC">
      <w:start w:val="1"/>
      <w:numFmt w:val="decimal"/>
      <w:lvlText w:val="%4."/>
      <w:lvlJc w:val="left"/>
      <w:pPr>
        <w:ind w:left="2880" w:hanging="360"/>
      </w:pPr>
    </w:lvl>
    <w:lvl w:ilvl="4" w:tplc="A1EC8316">
      <w:start w:val="1"/>
      <w:numFmt w:val="lowerLetter"/>
      <w:lvlText w:val="%5."/>
      <w:lvlJc w:val="left"/>
      <w:pPr>
        <w:ind w:left="3600" w:hanging="360"/>
      </w:pPr>
    </w:lvl>
    <w:lvl w:ilvl="5" w:tplc="4858B214">
      <w:start w:val="1"/>
      <w:numFmt w:val="lowerRoman"/>
      <w:lvlText w:val="%6."/>
      <w:lvlJc w:val="right"/>
      <w:pPr>
        <w:ind w:left="4320" w:hanging="180"/>
      </w:pPr>
    </w:lvl>
    <w:lvl w:ilvl="6" w:tplc="2ACADE5E">
      <w:start w:val="1"/>
      <w:numFmt w:val="decimal"/>
      <w:lvlText w:val="%7."/>
      <w:lvlJc w:val="left"/>
      <w:pPr>
        <w:ind w:left="5040" w:hanging="360"/>
      </w:pPr>
    </w:lvl>
    <w:lvl w:ilvl="7" w:tplc="814494D6">
      <w:start w:val="1"/>
      <w:numFmt w:val="lowerLetter"/>
      <w:lvlText w:val="%8."/>
      <w:lvlJc w:val="left"/>
      <w:pPr>
        <w:ind w:left="5760" w:hanging="360"/>
      </w:pPr>
    </w:lvl>
    <w:lvl w:ilvl="8" w:tplc="697048EA">
      <w:start w:val="1"/>
      <w:numFmt w:val="lowerRoman"/>
      <w:lvlText w:val="%9."/>
      <w:lvlJc w:val="right"/>
      <w:pPr>
        <w:ind w:left="6480" w:hanging="180"/>
      </w:pPr>
    </w:lvl>
  </w:abstractNum>
  <w:abstractNum w:abstractNumId="2" w15:restartNumberingAfterBreak="0">
    <w:nsid w:val="206E909A"/>
    <w:multiLevelType w:val="hybridMultilevel"/>
    <w:tmpl w:val="A3A23056"/>
    <w:lvl w:ilvl="0" w:tplc="C646F1C0">
      <w:start w:val="8"/>
      <w:numFmt w:val="decimal"/>
      <w:lvlText w:val="%1."/>
      <w:lvlJc w:val="left"/>
      <w:pPr>
        <w:ind w:left="720" w:hanging="360"/>
      </w:pPr>
    </w:lvl>
    <w:lvl w:ilvl="1" w:tplc="EA5669F8">
      <w:start w:val="1"/>
      <w:numFmt w:val="lowerLetter"/>
      <w:lvlText w:val="%2."/>
      <w:lvlJc w:val="left"/>
      <w:pPr>
        <w:ind w:left="1440" w:hanging="360"/>
      </w:pPr>
    </w:lvl>
    <w:lvl w:ilvl="2" w:tplc="DB7CA740">
      <w:start w:val="1"/>
      <w:numFmt w:val="lowerRoman"/>
      <w:lvlText w:val="%3."/>
      <w:lvlJc w:val="right"/>
      <w:pPr>
        <w:ind w:left="2160" w:hanging="180"/>
      </w:pPr>
    </w:lvl>
    <w:lvl w:ilvl="3" w:tplc="EC32BF98">
      <w:start w:val="1"/>
      <w:numFmt w:val="decimal"/>
      <w:lvlText w:val="%4."/>
      <w:lvlJc w:val="left"/>
      <w:pPr>
        <w:ind w:left="2880" w:hanging="360"/>
      </w:pPr>
    </w:lvl>
    <w:lvl w:ilvl="4" w:tplc="9B5EF3C0">
      <w:start w:val="1"/>
      <w:numFmt w:val="lowerLetter"/>
      <w:lvlText w:val="%5."/>
      <w:lvlJc w:val="left"/>
      <w:pPr>
        <w:ind w:left="3600" w:hanging="360"/>
      </w:pPr>
    </w:lvl>
    <w:lvl w:ilvl="5" w:tplc="935A5B28">
      <w:start w:val="1"/>
      <w:numFmt w:val="lowerRoman"/>
      <w:lvlText w:val="%6."/>
      <w:lvlJc w:val="right"/>
      <w:pPr>
        <w:ind w:left="4320" w:hanging="180"/>
      </w:pPr>
    </w:lvl>
    <w:lvl w:ilvl="6" w:tplc="7C2C4692">
      <w:start w:val="1"/>
      <w:numFmt w:val="decimal"/>
      <w:lvlText w:val="%7."/>
      <w:lvlJc w:val="left"/>
      <w:pPr>
        <w:ind w:left="5040" w:hanging="360"/>
      </w:pPr>
    </w:lvl>
    <w:lvl w:ilvl="7" w:tplc="ACFA7924">
      <w:start w:val="1"/>
      <w:numFmt w:val="lowerLetter"/>
      <w:lvlText w:val="%8."/>
      <w:lvlJc w:val="left"/>
      <w:pPr>
        <w:ind w:left="5760" w:hanging="360"/>
      </w:pPr>
    </w:lvl>
    <w:lvl w:ilvl="8" w:tplc="E3444EDE">
      <w:start w:val="1"/>
      <w:numFmt w:val="lowerRoman"/>
      <w:lvlText w:val="%9."/>
      <w:lvlJc w:val="right"/>
      <w:pPr>
        <w:ind w:left="6480" w:hanging="180"/>
      </w:pPr>
    </w:lvl>
  </w:abstractNum>
  <w:abstractNum w:abstractNumId="3" w15:restartNumberingAfterBreak="0">
    <w:nsid w:val="22609734"/>
    <w:multiLevelType w:val="hybridMultilevel"/>
    <w:tmpl w:val="23A86776"/>
    <w:lvl w:ilvl="0" w:tplc="A4B4F7A8">
      <w:start w:val="1"/>
      <w:numFmt w:val="decimal"/>
      <w:lvlText w:val="%1."/>
      <w:lvlJc w:val="left"/>
      <w:pPr>
        <w:ind w:left="720" w:hanging="360"/>
      </w:pPr>
    </w:lvl>
    <w:lvl w:ilvl="1" w:tplc="816A1E8E">
      <w:start w:val="1"/>
      <w:numFmt w:val="lowerLetter"/>
      <w:lvlText w:val="%2."/>
      <w:lvlJc w:val="left"/>
      <w:pPr>
        <w:ind w:left="1440" w:hanging="360"/>
      </w:pPr>
    </w:lvl>
    <w:lvl w:ilvl="2" w:tplc="898C4806">
      <w:start w:val="1"/>
      <w:numFmt w:val="lowerRoman"/>
      <w:lvlText w:val="%3."/>
      <w:lvlJc w:val="right"/>
      <w:pPr>
        <w:ind w:left="2160" w:hanging="180"/>
      </w:pPr>
    </w:lvl>
    <w:lvl w:ilvl="3" w:tplc="6838AB4A">
      <w:start w:val="1"/>
      <w:numFmt w:val="decimal"/>
      <w:lvlText w:val="%4."/>
      <w:lvlJc w:val="left"/>
      <w:pPr>
        <w:ind w:left="2880" w:hanging="360"/>
      </w:pPr>
    </w:lvl>
    <w:lvl w:ilvl="4" w:tplc="BA48FF46">
      <w:start w:val="1"/>
      <w:numFmt w:val="lowerLetter"/>
      <w:lvlText w:val="%5."/>
      <w:lvlJc w:val="left"/>
      <w:pPr>
        <w:ind w:left="3600" w:hanging="360"/>
      </w:pPr>
    </w:lvl>
    <w:lvl w:ilvl="5" w:tplc="D2106FA2">
      <w:start w:val="1"/>
      <w:numFmt w:val="lowerRoman"/>
      <w:lvlText w:val="%6."/>
      <w:lvlJc w:val="right"/>
      <w:pPr>
        <w:ind w:left="4320" w:hanging="180"/>
      </w:pPr>
    </w:lvl>
    <w:lvl w:ilvl="6" w:tplc="2C32E560">
      <w:start w:val="1"/>
      <w:numFmt w:val="decimal"/>
      <w:lvlText w:val="%7."/>
      <w:lvlJc w:val="left"/>
      <w:pPr>
        <w:ind w:left="5040" w:hanging="360"/>
      </w:pPr>
    </w:lvl>
    <w:lvl w:ilvl="7" w:tplc="274AC0AC">
      <w:start w:val="1"/>
      <w:numFmt w:val="lowerLetter"/>
      <w:lvlText w:val="%8."/>
      <w:lvlJc w:val="left"/>
      <w:pPr>
        <w:ind w:left="5760" w:hanging="360"/>
      </w:pPr>
    </w:lvl>
    <w:lvl w:ilvl="8" w:tplc="0E425F44">
      <w:start w:val="1"/>
      <w:numFmt w:val="lowerRoman"/>
      <w:lvlText w:val="%9."/>
      <w:lvlJc w:val="right"/>
      <w:pPr>
        <w:ind w:left="6480" w:hanging="180"/>
      </w:pPr>
    </w:lvl>
  </w:abstractNum>
  <w:abstractNum w:abstractNumId="4" w15:restartNumberingAfterBreak="0">
    <w:nsid w:val="2353E18D"/>
    <w:multiLevelType w:val="hybridMultilevel"/>
    <w:tmpl w:val="BA327F56"/>
    <w:lvl w:ilvl="0" w:tplc="959021E2">
      <w:start w:val="6"/>
      <w:numFmt w:val="decimal"/>
      <w:lvlText w:val="%1."/>
      <w:lvlJc w:val="left"/>
      <w:pPr>
        <w:ind w:left="720" w:hanging="360"/>
      </w:pPr>
    </w:lvl>
    <w:lvl w:ilvl="1" w:tplc="42C297A0">
      <w:start w:val="1"/>
      <w:numFmt w:val="lowerLetter"/>
      <w:lvlText w:val="%2."/>
      <w:lvlJc w:val="left"/>
      <w:pPr>
        <w:ind w:left="1440" w:hanging="360"/>
      </w:pPr>
    </w:lvl>
    <w:lvl w:ilvl="2" w:tplc="84ECBCC8">
      <w:start w:val="1"/>
      <w:numFmt w:val="lowerRoman"/>
      <w:lvlText w:val="%3."/>
      <w:lvlJc w:val="right"/>
      <w:pPr>
        <w:ind w:left="2160" w:hanging="180"/>
      </w:pPr>
    </w:lvl>
    <w:lvl w:ilvl="3" w:tplc="D82CA176">
      <w:start w:val="1"/>
      <w:numFmt w:val="decimal"/>
      <w:lvlText w:val="%4."/>
      <w:lvlJc w:val="left"/>
      <w:pPr>
        <w:ind w:left="2880" w:hanging="360"/>
      </w:pPr>
    </w:lvl>
    <w:lvl w:ilvl="4" w:tplc="BE82F3F0">
      <w:start w:val="1"/>
      <w:numFmt w:val="lowerLetter"/>
      <w:lvlText w:val="%5."/>
      <w:lvlJc w:val="left"/>
      <w:pPr>
        <w:ind w:left="3600" w:hanging="360"/>
      </w:pPr>
    </w:lvl>
    <w:lvl w:ilvl="5" w:tplc="010C9CD0">
      <w:start w:val="1"/>
      <w:numFmt w:val="lowerRoman"/>
      <w:lvlText w:val="%6."/>
      <w:lvlJc w:val="right"/>
      <w:pPr>
        <w:ind w:left="4320" w:hanging="180"/>
      </w:pPr>
    </w:lvl>
    <w:lvl w:ilvl="6" w:tplc="45506088">
      <w:start w:val="1"/>
      <w:numFmt w:val="decimal"/>
      <w:lvlText w:val="%7."/>
      <w:lvlJc w:val="left"/>
      <w:pPr>
        <w:ind w:left="5040" w:hanging="360"/>
      </w:pPr>
    </w:lvl>
    <w:lvl w:ilvl="7" w:tplc="A7D2BE0A">
      <w:start w:val="1"/>
      <w:numFmt w:val="lowerLetter"/>
      <w:lvlText w:val="%8."/>
      <w:lvlJc w:val="left"/>
      <w:pPr>
        <w:ind w:left="5760" w:hanging="360"/>
      </w:pPr>
    </w:lvl>
    <w:lvl w:ilvl="8" w:tplc="F89C3E48">
      <w:start w:val="1"/>
      <w:numFmt w:val="lowerRoman"/>
      <w:lvlText w:val="%9."/>
      <w:lvlJc w:val="right"/>
      <w:pPr>
        <w:ind w:left="6480" w:hanging="180"/>
      </w:pPr>
    </w:lvl>
  </w:abstractNum>
  <w:abstractNum w:abstractNumId="5" w15:restartNumberingAfterBreak="0">
    <w:nsid w:val="3BF95E18"/>
    <w:multiLevelType w:val="hybridMultilevel"/>
    <w:tmpl w:val="110684FA"/>
    <w:lvl w:ilvl="0" w:tplc="04800BD0">
      <w:start w:val="3"/>
      <w:numFmt w:val="decimal"/>
      <w:lvlText w:val="%1."/>
      <w:lvlJc w:val="left"/>
      <w:pPr>
        <w:ind w:left="720" w:hanging="360"/>
      </w:pPr>
    </w:lvl>
    <w:lvl w:ilvl="1" w:tplc="9468D6CE">
      <w:start w:val="1"/>
      <w:numFmt w:val="lowerLetter"/>
      <w:lvlText w:val="%2."/>
      <w:lvlJc w:val="left"/>
      <w:pPr>
        <w:ind w:left="1440" w:hanging="360"/>
      </w:pPr>
    </w:lvl>
    <w:lvl w:ilvl="2" w:tplc="39C005A0">
      <w:start w:val="1"/>
      <w:numFmt w:val="lowerRoman"/>
      <w:lvlText w:val="%3."/>
      <w:lvlJc w:val="right"/>
      <w:pPr>
        <w:ind w:left="2160" w:hanging="180"/>
      </w:pPr>
    </w:lvl>
    <w:lvl w:ilvl="3" w:tplc="263C4F02">
      <w:start w:val="1"/>
      <w:numFmt w:val="decimal"/>
      <w:lvlText w:val="%4."/>
      <w:lvlJc w:val="left"/>
      <w:pPr>
        <w:ind w:left="2880" w:hanging="360"/>
      </w:pPr>
    </w:lvl>
    <w:lvl w:ilvl="4" w:tplc="596040C6">
      <w:start w:val="1"/>
      <w:numFmt w:val="lowerLetter"/>
      <w:lvlText w:val="%5."/>
      <w:lvlJc w:val="left"/>
      <w:pPr>
        <w:ind w:left="3600" w:hanging="360"/>
      </w:pPr>
    </w:lvl>
    <w:lvl w:ilvl="5" w:tplc="4636D4B0">
      <w:start w:val="1"/>
      <w:numFmt w:val="lowerRoman"/>
      <w:lvlText w:val="%6."/>
      <w:lvlJc w:val="right"/>
      <w:pPr>
        <w:ind w:left="4320" w:hanging="180"/>
      </w:pPr>
    </w:lvl>
    <w:lvl w:ilvl="6" w:tplc="1DBE7134">
      <w:start w:val="1"/>
      <w:numFmt w:val="decimal"/>
      <w:lvlText w:val="%7."/>
      <w:lvlJc w:val="left"/>
      <w:pPr>
        <w:ind w:left="5040" w:hanging="360"/>
      </w:pPr>
    </w:lvl>
    <w:lvl w:ilvl="7" w:tplc="5AB08C5E">
      <w:start w:val="1"/>
      <w:numFmt w:val="lowerLetter"/>
      <w:lvlText w:val="%8."/>
      <w:lvlJc w:val="left"/>
      <w:pPr>
        <w:ind w:left="5760" w:hanging="360"/>
      </w:pPr>
    </w:lvl>
    <w:lvl w:ilvl="8" w:tplc="86969CC8">
      <w:start w:val="1"/>
      <w:numFmt w:val="lowerRoman"/>
      <w:lvlText w:val="%9."/>
      <w:lvlJc w:val="right"/>
      <w:pPr>
        <w:ind w:left="6480" w:hanging="180"/>
      </w:pPr>
    </w:lvl>
  </w:abstractNum>
  <w:abstractNum w:abstractNumId="6" w15:restartNumberingAfterBreak="0">
    <w:nsid w:val="4CBC9A94"/>
    <w:multiLevelType w:val="hybridMultilevel"/>
    <w:tmpl w:val="CA92F446"/>
    <w:lvl w:ilvl="0" w:tplc="C2A82CFA">
      <w:start w:val="4"/>
      <w:numFmt w:val="decimal"/>
      <w:lvlText w:val="%1."/>
      <w:lvlJc w:val="left"/>
      <w:pPr>
        <w:ind w:left="720" w:hanging="360"/>
      </w:pPr>
    </w:lvl>
    <w:lvl w:ilvl="1" w:tplc="E9A87A02">
      <w:start w:val="1"/>
      <w:numFmt w:val="lowerLetter"/>
      <w:lvlText w:val="%2."/>
      <w:lvlJc w:val="left"/>
      <w:pPr>
        <w:ind w:left="1440" w:hanging="360"/>
      </w:pPr>
    </w:lvl>
    <w:lvl w:ilvl="2" w:tplc="279A9338">
      <w:start w:val="1"/>
      <w:numFmt w:val="lowerRoman"/>
      <w:lvlText w:val="%3."/>
      <w:lvlJc w:val="right"/>
      <w:pPr>
        <w:ind w:left="2160" w:hanging="180"/>
      </w:pPr>
    </w:lvl>
    <w:lvl w:ilvl="3" w:tplc="6264F3C8">
      <w:start w:val="1"/>
      <w:numFmt w:val="decimal"/>
      <w:lvlText w:val="%4."/>
      <w:lvlJc w:val="left"/>
      <w:pPr>
        <w:ind w:left="2880" w:hanging="360"/>
      </w:pPr>
    </w:lvl>
    <w:lvl w:ilvl="4" w:tplc="03D0884C">
      <w:start w:val="1"/>
      <w:numFmt w:val="lowerLetter"/>
      <w:lvlText w:val="%5."/>
      <w:lvlJc w:val="left"/>
      <w:pPr>
        <w:ind w:left="3600" w:hanging="360"/>
      </w:pPr>
    </w:lvl>
    <w:lvl w:ilvl="5" w:tplc="60BA4310">
      <w:start w:val="1"/>
      <w:numFmt w:val="lowerRoman"/>
      <w:lvlText w:val="%6."/>
      <w:lvlJc w:val="right"/>
      <w:pPr>
        <w:ind w:left="4320" w:hanging="180"/>
      </w:pPr>
    </w:lvl>
    <w:lvl w:ilvl="6" w:tplc="088882B8">
      <w:start w:val="1"/>
      <w:numFmt w:val="decimal"/>
      <w:lvlText w:val="%7."/>
      <w:lvlJc w:val="left"/>
      <w:pPr>
        <w:ind w:left="5040" w:hanging="360"/>
      </w:pPr>
    </w:lvl>
    <w:lvl w:ilvl="7" w:tplc="7310B5E2">
      <w:start w:val="1"/>
      <w:numFmt w:val="lowerLetter"/>
      <w:lvlText w:val="%8."/>
      <w:lvlJc w:val="left"/>
      <w:pPr>
        <w:ind w:left="5760" w:hanging="360"/>
      </w:pPr>
    </w:lvl>
    <w:lvl w:ilvl="8" w:tplc="47529F4E">
      <w:start w:val="1"/>
      <w:numFmt w:val="lowerRoman"/>
      <w:lvlText w:val="%9."/>
      <w:lvlJc w:val="right"/>
      <w:pPr>
        <w:ind w:left="6480" w:hanging="180"/>
      </w:pPr>
    </w:lvl>
  </w:abstractNum>
  <w:abstractNum w:abstractNumId="7" w15:restartNumberingAfterBreak="0">
    <w:nsid w:val="5AB9C455"/>
    <w:multiLevelType w:val="hybridMultilevel"/>
    <w:tmpl w:val="E0B4E758"/>
    <w:lvl w:ilvl="0" w:tplc="B3EE69C2">
      <w:start w:val="5"/>
      <w:numFmt w:val="decimal"/>
      <w:lvlText w:val="%1."/>
      <w:lvlJc w:val="left"/>
      <w:pPr>
        <w:ind w:left="720" w:hanging="360"/>
      </w:pPr>
    </w:lvl>
    <w:lvl w:ilvl="1" w:tplc="B5A85FEC">
      <w:start w:val="1"/>
      <w:numFmt w:val="lowerLetter"/>
      <w:lvlText w:val="%2."/>
      <w:lvlJc w:val="left"/>
      <w:pPr>
        <w:ind w:left="1440" w:hanging="360"/>
      </w:pPr>
    </w:lvl>
    <w:lvl w:ilvl="2" w:tplc="7F2A156A">
      <w:start w:val="1"/>
      <w:numFmt w:val="lowerRoman"/>
      <w:lvlText w:val="%3."/>
      <w:lvlJc w:val="right"/>
      <w:pPr>
        <w:ind w:left="2160" w:hanging="180"/>
      </w:pPr>
    </w:lvl>
    <w:lvl w:ilvl="3" w:tplc="06904566">
      <w:start w:val="1"/>
      <w:numFmt w:val="decimal"/>
      <w:lvlText w:val="%4."/>
      <w:lvlJc w:val="left"/>
      <w:pPr>
        <w:ind w:left="2880" w:hanging="360"/>
      </w:pPr>
    </w:lvl>
    <w:lvl w:ilvl="4" w:tplc="B2D66E7E">
      <w:start w:val="1"/>
      <w:numFmt w:val="lowerLetter"/>
      <w:lvlText w:val="%5."/>
      <w:lvlJc w:val="left"/>
      <w:pPr>
        <w:ind w:left="3600" w:hanging="360"/>
      </w:pPr>
    </w:lvl>
    <w:lvl w:ilvl="5" w:tplc="3A6802C4">
      <w:start w:val="1"/>
      <w:numFmt w:val="lowerRoman"/>
      <w:lvlText w:val="%6."/>
      <w:lvlJc w:val="right"/>
      <w:pPr>
        <w:ind w:left="4320" w:hanging="180"/>
      </w:pPr>
    </w:lvl>
    <w:lvl w:ilvl="6" w:tplc="9144404E">
      <w:start w:val="1"/>
      <w:numFmt w:val="decimal"/>
      <w:lvlText w:val="%7."/>
      <w:lvlJc w:val="left"/>
      <w:pPr>
        <w:ind w:left="5040" w:hanging="360"/>
      </w:pPr>
    </w:lvl>
    <w:lvl w:ilvl="7" w:tplc="75B40EDE">
      <w:start w:val="1"/>
      <w:numFmt w:val="lowerLetter"/>
      <w:lvlText w:val="%8."/>
      <w:lvlJc w:val="left"/>
      <w:pPr>
        <w:ind w:left="5760" w:hanging="360"/>
      </w:pPr>
    </w:lvl>
    <w:lvl w:ilvl="8" w:tplc="9D820B10">
      <w:start w:val="1"/>
      <w:numFmt w:val="lowerRoman"/>
      <w:lvlText w:val="%9."/>
      <w:lvlJc w:val="right"/>
      <w:pPr>
        <w:ind w:left="6480" w:hanging="180"/>
      </w:pPr>
    </w:lvl>
  </w:abstractNum>
  <w:abstractNum w:abstractNumId="8" w15:restartNumberingAfterBreak="0">
    <w:nsid w:val="6F10B488"/>
    <w:multiLevelType w:val="hybridMultilevel"/>
    <w:tmpl w:val="19B23CC0"/>
    <w:lvl w:ilvl="0" w:tplc="235A87C8">
      <w:start w:val="2"/>
      <w:numFmt w:val="decimal"/>
      <w:lvlText w:val="%1."/>
      <w:lvlJc w:val="left"/>
      <w:pPr>
        <w:ind w:left="720" w:hanging="360"/>
      </w:pPr>
    </w:lvl>
    <w:lvl w:ilvl="1" w:tplc="6656900E">
      <w:start w:val="1"/>
      <w:numFmt w:val="lowerLetter"/>
      <w:lvlText w:val="%2."/>
      <w:lvlJc w:val="left"/>
      <w:pPr>
        <w:ind w:left="1440" w:hanging="360"/>
      </w:pPr>
    </w:lvl>
    <w:lvl w:ilvl="2" w:tplc="EA36B248">
      <w:start w:val="1"/>
      <w:numFmt w:val="lowerRoman"/>
      <w:lvlText w:val="%3."/>
      <w:lvlJc w:val="right"/>
      <w:pPr>
        <w:ind w:left="2160" w:hanging="180"/>
      </w:pPr>
    </w:lvl>
    <w:lvl w:ilvl="3" w:tplc="29CE0A3A">
      <w:start w:val="1"/>
      <w:numFmt w:val="decimal"/>
      <w:lvlText w:val="%4."/>
      <w:lvlJc w:val="left"/>
      <w:pPr>
        <w:ind w:left="2880" w:hanging="360"/>
      </w:pPr>
    </w:lvl>
    <w:lvl w:ilvl="4" w:tplc="9470FEF0">
      <w:start w:val="1"/>
      <w:numFmt w:val="lowerLetter"/>
      <w:lvlText w:val="%5."/>
      <w:lvlJc w:val="left"/>
      <w:pPr>
        <w:ind w:left="3600" w:hanging="360"/>
      </w:pPr>
    </w:lvl>
    <w:lvl w:ilvl="5" w:tplc="EFE82D02">
      <w:start w:val="1"/>
      <w:numFmt w:val="lowerRoman"/>
      <w:lvlText w:val="%6."/>
      <w:lvlJc w:val="right"/>
      <w:pPr>
        <w:ind w:left="4320" w:hanging="180"/>
      </w:pPr>
    </w:lvl>
    <w:lvl w:ilvl="6" w:tplc="310883C6">
      <w:start w:val="1"/>
      <w:numFmt w:val="decimal"/>
      <w:lvlText w:val="%7."/>
      <w:lvlJc w:val="left"/>
      <w:pPr>
        <w:ind w:left="5040" w:hanging="360"/>
      </w:pPr>
    </w:lvl>
    <w:lvl w:ilvl="7" w:tplc="D1E61BA4">
      <w:start w:val="1"/>
      <w:numFmt w:val="lowerLetter"/>
      <w:lvlText w:val="%8."/>
      <w:lvlJc w:val="left"/>
      <w:pPr>
        <w:ind w:left="5760" w:hanging="360"/>
      </w:pPr>
    </w:lvl>
    <w:lvl w:ilvl="8" w:tplc="ACF843AA">
      <w:start w:val="1"/>
      <w:numFmt w:val="lowerRoman"/>
      <w:lvlText w:val="%9."/>
      <w:lvlJc w:val="right"/>
      <w:pPr>
        <w:ind w:left="6480" w:hanging="180"/>
      </w:pPr>
    </w:lvl>
  </w:abstractNum>
  <w:num w:numId="1">
    <w:abstractNumId w:val="2"/>
  </w:num>
  <w:num w:numId="2">
    <w:abstractNumId w:val="1"/>
  </w:num>
  <w:num w:numId="3">
    <w:abstractNumId w:val="4"/>
  </w:num>
  <w:num w:numId="4">
    <w:abstractNumId w:val="7"/>
  </w:num>
  <w:num w:numId="5">
    <w:abstractNumId w:val="6"/>
  </w:num>
  <w:num w:numId="6">
    <w:abstractNumId w:val="5"/>
  </w:num>
  <w:num w:numId="7">
    <w:abstractNumId w:val="8"/>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3B257B4"/>
    <w:rsid w:val="00896B03"/>
    <w:rsid w:val="009149F6"/>
    <w:rsid w:val="00EC7E49"/>
    <w:rsid w:val="016B566D"/>
    <w:rsid w:val="43B257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257B4"/>
  <w15:chartTrackingRefBased/>
  <w15:docId w15:val="{A4ECF360-4445-43E6-9735-8309F6B19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563C1" w:themeColor="hyperlink"/>
      <w:u w:val="single"/>
    </w:rPr>
  </w:style>
  <w:style w:type="paragraph" w:styleId="NormalWeb">
    <w:name w:val="Normal (Web)"/>
    <w:basedOn w:val="Normal"/>
    <w:uiPriority w:val="99"/>
    <w:semiHidden/>
    <w:unhideWhenUsed/>
    <w:rsid w:val="00896B03"/>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apple-tab-span">
    <w:name w:val="apple-tab-span"/>
    <w:basedOn w:val="DefaultParagraphFont"/>
    <w:rsid w:val="00896B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22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etterhealth.vic.gov.au/health/healthyliving/soybean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rs.usda.gov/amber-waves/2019/june/americans-still-can-meet-fruit-and-vegetable-dietary-guidelines-for-210-260-per-day/" TargetMode="External"/><Relationship Id="rId12" Type="http://schemas.openxmlformats.org/officeDocument/2006/relationships/hyperlink" Target="https://www.ageuk.org.uk/bp-assets/globalassets/coventry--warwickshire/original-blocks/our-services/dementia-day-ops-support-for-carers/dehydration.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cbi.nlm.nih.gov/pmc/articles/PMC2822182/" TargetMode="External"/><Relationship Id="rId11" Type="http://schemas.openxmlformats.org/officeDocument/2006/relationships/hyperlink" Target="https://www.ncbi.nlm.nih.gov/pmc/articles/PMC2654909/" TargetMode="External"/><Relationship Id="rId5" Type="http://schemas.openxmlformats.org/officeDocument/2006/relationships/hyperlink" Target="https://www.ncbi.nlm.nih.gov/pmc/articles/PMC7358979/" TargetMode="External"/><Relationship Id="rId10" Type="http://schemas.openxmlformats.org/officeDocument/2006/relationships/hyperlink" Target="https://www.ncbi.nlm.nih.gov/pmc/articles/PMC6732875/" TargetMode="External"/><Relationship Id="rId4" Type="http://schemas.openxmlformats.org/officeDocument/2006/relationships/webSettings" Target="webSettings.xml"/><Relationship Id="rId9" Type="http://schemas.openxmlformats.org/officeDocument/2006/relationships/hyperlink" Target="https://www.lhsfna.org/the-many-health-risks-of-processed-food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1482</Words>
  <Characters>8453</Characters>
  <Application>Microsoft Office Word</Application>
  <DocSecurity>0</DocSecurity>
  <Lines>70</Lines>
  <Paragraphs>19</Paragraphs>
  <ScaleCrop>false</ScaleCrop>
  <Company/>
  <LinksUpToDate>false</LinksUpToDate>
  <CharactersWithSpaces>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2023-10-21T09:36:00Z</dcterms:created>
  <dcterms:modified xsi:type="dcterms:W3CDTF">2023-10-31T01:16:00Z</dcterms:modified>
</cp:coreProperties>
</file>